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40C46">
      <w:pPr>
        <w:pStyle w:val="11"/>
        <w:spacing w:after="156" w:afterLines="50"/>
        <w:rPr>
          <w:color w:val="auto"/>
          <w:sz w:val="44"/>
          <w:szCs w:val="44"/>
        </w:rPr>
      </w:pPr>
      <w:r>
        <w:rPr>
          <w:rFonts w:hint="eastAsia"/>
          <w:color w:val="auto"/>
          <w:sz w:val="44"/>
          <w:szCs w:val="44"/>
        </w:rPr>
        <w:t>川渝新一代电子信息技术产业中试研发平台建设项目（三期）专项债券</w:t>
      </w:r>
    </w:p>
    <w:p w14:paraId="4D8A9899">
      <w:pPr>
        <w:pStyle w:val="11"/>
        <w:spacing w:after="624" w:afterLines="200"/>
        <w:rPr>
          <w:color w:val="auto"/>
          <w:sz w:val="44"/>
          <w:szCs w:val="44"/>
        </w:rPr>
      </w:pPr>
      <w:r>
        <w:rPr>
          <w:rFonts w:hint="eastAsia"/>
          <w:color w:val="auto"/>
          <w:sz w:val="44"/>
          <w:szCs w:val="44"/>
        </w:rPr>
        <w:t>项目情况</w:t>
      </w:r>
    </w:p>
    <w:p w14:paraId="33AB392E">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一、项目基本情况</w:t>
      </w:r>
    </w:p>
    <w:p w14:paraId="6E0E9C62">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（一）市县及行业专项规划概况</w:t>
      </w:r>
    </w:p>
    <w:p w14:paraId="32E04ECF">
      <w:pPr>
        <w:ind w:firstLine="480"/>
        <w:rPr>
          <w:rFonts w:hint="eastAsia"/>
          <w:color w:val="auto"/>
          <w:lang w:bidi="ar"/>
        </w:rPr>
      </w:pPr>
      <w:r>
        <w:rPr>
          <w:rFonts w:hint="eastAsia"/>
          <w:color w:val="auto"/>
          <w:lang w:bidi="ar"/>
        </w:rPr>
        <w:t>四川省“十四五”科技创新规划明确提出，着力构建高水平创新平台体系，加快推进中试基地建设。规划指出，要优化中试平台布局，推动形成功能完备、开放共享的中试创新生态。鼓励企业、高校、科研院所协同共建中试基地，支持社会资本参与中试平台建设与运营。聚焦新一代信息技术、高端装备制造、新材料、生物医药等重点产业领域，建设一批专业化、特色化中试基地，强化中试技术攻关、标准研制和产业孵化功能，促进科技成果从实验室走向产业化。</w:t>
      </w:r>
    </w:p>
    <w:p w14:paraId="1189CCCB">
      <w:pPr>
        <w:ind w:firstLine="480"/>
        <w:rPr>
          <w:color w:val="auto"/>
          <w:lang w:bidi="ar"/>
        </w:rPr>
      </w:pPr>
      <w:r>
        <w:rPr>
          <w:rFonts w:hint="eastAsia"/>
          <w:color w:val="auto"/>
          <w:lang w:bidi="ar"/>
        </w:rPr>
        <w:t>近年来，四川省持续加大对中试基地建设的投入，中试平台基础设施不断完善，服务能力显著提升。已初步建成以省级中试基地为引领，市州特色中试平台为支撑，产业园区中试服务站点为延伸的多层次中试体系，在电子信息、新能源等领域形成了一批具有示范效应的中试创新载体，有效推动了一批关键技术的成果转化和产业化应用。</w:t>
      </w:r>
    </w:p>
    <w:p w14:paraId="5392473E">
      <w:pPr>
        <w:ind w:firstLine="480"/>
        <w:rPr>
          <w:rFonts w:hint="eastAsia"/>
          <w:color w:val="auto"/>
          <w:lang w:bidi="ar"/>
        </w:rPr>
      </w:pPr>
      <w:r>
        <w:rPr>
          <w:rFonts w:hint="eastAsia"/>
          <w:color w:val="auto"/>
          <w:lang w:bidi="ar"/>
        </w:rPr>
        <w:t>《内江市国民经济和社会发展第十四个五年规划纲要》中指出，内江市将着力强化科技创新支撑，坚持夯基础、强平台、优机制、促转化的要求，深化科技体制机制改革，加快完善中试研发服务体系，大力推进科技成果转化应用均等化，建立健全覆盖全产业链的中试创新制度，扩大科技服务和产业孵化供给，促进区域创新能力进一步提升。</w:t>
      </w:r>
    </w:p>
    <w:p w14:paraId="707DA70D">
      <w:pPr>
        <w:ind w:firstLine="480"/>
        <w:rPr>
          <w:color w:val="auto"/>
          <w:lang w:bidi="ar"/>
        </w:rPr>
      </w:pPr>
      <w:r>
        <w:rPr>
          <w:rFonts w:hint="eastAsia"/>
          <w:color w:val="auto"/>
          <w:lang w:bidi="ar"/>
        </w:rPr>
        <w:t>深化科技体制机制改革。持续推进中试平台扩面提质工作，提升科技服务管理水平，推动市场化机构参与中试技术服务运营，健全重大技术攻关协同保障机制。巩固完善科技成果转化制度，加快推进中试基地标准化、专业化建设。建立完善技术转移分级服务制度，理顺中试服务价格形成机制，健全中试平台管理制度，完善市场化运营治理结构，优化科技型企业孵化环境。全面推进产业园区中试平台综合改革。扩大中试技术服务覆盖面，建设区域中试创新高地。大力推进科技成果转化应用均等化。</w:t>
      </w:r>
    </w:p>
    <w:p w14:paraId="48D50069">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（二）项目情况</w:t>
      </w:r>
    </w:p>
    <w:p w14:paraId="68F259C6">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1.参与主体</w:t>
      </w:r>
    </w:p>
    <w:p w14:paraId="0DB9995D">
      <w:pPr>
        <w:ind w:firstLine="480"/>
        <w:rPr>
          <w:rFonts w:hint="eastAsia" w:eastAsia="仿宋"/>
          <w:color w:val="auto"/>
          <w:lang w:eastAsia="zh-CN" w:bidi="ar"/>
        </w:rPr>
      </w:pPr>
      <w:r>
        <w:rPr>
          <w:rFonts w:hint="eastAsia"/>
          <w:color w:val="auto"/>
          <w:lang w:bidi="ar"/>
        </w:rPr>
        <w:t>实施机构（行业主管部门）：</w:t>
      </w:r>
      <w:r>
        <w:rPr>
          <w:rFonts w:hint="eastAsia"/>
          <w:color w:val="auto"/>
          <w:lang w:eastAsia="zh-CN" w:bidi="ar"/>
        </w:rPr>
        <w:t>内江高新区科技创新局</w:t>
      </w:r>
    </w:p>
    <w:p w14:paraId="28DF81B8">
      <w:pPr>
        <w:ind w:firstLine="480"/>
        <w:rPr>
          <w:rFonts w:hint="eastAsia" w:eastAsia="仿宋"/>
          <w:color w:val="auto"/>
          <w:lang w:eastAsia="zh-CN" w:bidi="ar"/>
        </w:rPr>
      </w:pPr>
      <w:r>
        <w:rPr>
          <w:rFonts w:hint="eastAsia"/>
          <w:color w:val="auto"/>
          <w:lang w:bidi="ar"/>
        </w:rPr>
        <w:t>项目业主：</w:t>
      </w:r>
      <w:r>
        <w:rPr>
          <w:rFonts w:hint="eastAsia"/>
          <w:color w:val="auto"/>
          <w:lang w:eastAsia="zh-CN" w:bidi="ar"/>
        </w:rPr>
        <w:t>内江高新科技投资服务有限责任公司（系四川研跃科技有限责任公司控股母公司）</w:t>
      </w:r>
    </w:p>
    <w:p w14:paraId="0FDD7ACA">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2</w:t>
      </w:r>
      <w:r>
        <w:rPr>
          <w:rFonts w:ascii="仿宋_GB2312" w:hAnsi="Calibri" w:eastAsia="仿宋_GB2312"/>
          <w:b/>
          <w:color w:val="auto"/>
          <w:sz w:val="32"/>
          <w:szCs w:val="32"/>
        </w:rPr>
        <w:t>.</w:t>
      </w:r>
      <w:r>
        <w:rPr>
          <w:rFonts w:hint="eastAsia" w:ascii="仿宋_GB2312" w:hAnsi="Calibri" w:eastAsia="仿宋_GB2312"/>
          <w:b/>
          <w:color w:val="auto"/>
          <w:sz w:val="32"/>
          <w:szCs w:val="32"/>
        </w:rPr>
        <w:t>项目概况</w:t>
      </w:r>
    </w:p>
    <w:p w14:paraId="4D9ABE4C">
      <w:pPr>
        <w:ind w:firstLine="480"/>
        <w:rPr>
          <w:bCs/>
          <w:color w:val="auto"/>
          <w:kern w:val="0"/>
        </w:rPr>
      </w:pPr>
      <w:r>
        <w:rPr>
          <w:rFonts w:hint="eastAsia"/>
          <w:bCs/>
          <w:color w:val="auto"/>
          <w:kern w:val="0"/>
        </w:rPr>
        <w:t>本项目是</w:t>
      </w:r>
      <w:r>
        <w:rPr>
          <w:rFonts w:hint="eastAsia"/>
          <w:bCs/>
          <w:color w:val="auto"/>
          <w:kern w:val="0"/>
          <w:lang w:eastAsia="zh-CN"/>
        </w:rPr>
        <w:t>中试基地</w:t>
      </w:r>
      <w:r>
        <w:rPr>
          <w:rFonts w:hint="eastAsia"/>
          <w:bCs/>
          <w:color w:val="auto"/>
          <w:kern w:val="0"/>
        </w:rPr>
        <w:t>，项目总投资估算为</w:t>
      </w:r>
      <w:r>
        <w:rPr>
          <w:rFonts w:hint="eastAsia"/>
          <w:bCs/>
          <w:color w:val="auto"/>
          <w:kern w:val="0"/>
          <w:lang w:eastAsia="zh-CN"/>
        </w:rPr>
        <w:t>98,491.06</w:t>
      </w:r>
      <w:r>
        <w:rPr>
          <w:bCs/>
          <w:color w:val="auto"/>
          <w:kern w:val="0"/>
        </w:rPr>
        <w:t>万元。项目位于</w:t>
      </w:r>
      <w:r>
        <w:rPr>
          <w:rFonts w:hint="eastAsia"/>
          <w:bCs/>
          <w:color w:val="auto"/>
          <w:kern w:val="0"/>
        </w:rPr>
        <w:t>内江市高新区高铁片区</w:t>
      </w:r>
      <w:r>
        <w:rPr>
          <w:bCs/>
          <w:color w:val="auto"/>
          <w:kern w:val="0"/>
        </w:rPr>
        <w:t>，</w:t>
      </w:r>
      <w:r>
        <w:rPr>
          <w:rFonts w:hint="eastAsia"/>
          <w:bCs/>
          <w:color w:val="auto"/>
          <w:kern w:val="0"/>
        </w:rPr>
        <w:t>为实验、研发、检测设备购置及安装，确保平台稳定运行。设备包括芯片研发与测试设备36套、电磁屏蔽与检测设备19套、分析设备14套、各类显微镜14套及其他各类电子信息智能制造及装备设备270套，将为电子信息技术产业的研发、测试、中试等环节筑牢坚实基础，助力平台在技术创新与成果转化上抢占先机。</w:t>
      </w:r>
      <w:r>
        <w:rPr>
          <w:bCs/>
          <w:color w:val="auto"/>
          <w:kern w:val="0"/>
        </w:rPr>
        <w:t>该项目符合控制性详细规划，已取</w:t>
      </w:r>
      <w:r>
        <w:rPr>
          <w:rFonts w:hint="eastAsia"/>
          <w:bCs/>
          <w:color w:val="auto"/>
          <w:kern w:val="0"/>
          <w:lang w:val="en-US" w:eastAsia="zh-CN"/>
        </w:rPr>
        <w:t>立项文件、用地文件</w:t>
      </w:r>
      <w:r>
        <w:rPr>
          <w:bCs/>
          <w:color w:val="auto"/>
          <w:kern w:val="0"/>
        </w:rPr>
        <w:t>等合法合规性文件。</w:t>
      </w:r>
    </w:p>
    <w:p w14:paraId="3EC83B0E">
      <w:pPr>
        <w:pStyle w:val="13"/>
        <w:rPr>
          <w:color w:val="auto"/>
        </w:rPr>
      </w:pPr>
    </w:p>
    <w:p w14:paraId="4163AADA">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二、经济社会效益分析</w:t>
      </w:r>
    </w:p>
    <w:p w14:paraId="46ECA2B4">
      <w:pPr>
        <w:ind w:firstLine="480"/>
        <w:rPr>
          <w:rFonts w:hint="eastAsia"/>
          <w:bCs/>
          <w:color w:val="auto"/>
          <w:kern w:val="0"/>
        </w:rPr>
      </w:pPr>
      <w:bookmarkStart w:id="0" w:name="OLE_LINK52"/>
      <w:r>
        <w:rPr>
          <w:rFonts w:hint="eastAsia"/>
          <w:bCs/>
          <w:color w:val="auto"/>
          <w:kern w:val="0"/>
        </w:rPr>
        <w:t>在经济效益方面，</w:t>
      </w:r>
      <w:r>
        <w:rPr>
          <w:rFonts w:hint="eastAsia"/>
          <w:bCs/>
          <w:color w:val="auto"/>
          <w:kern w:val="0"/>
          <w:lang w:eastAsia="zh-CN"/>
        </w:rPr>
        <w:t>川渝新一代电子信息技术产业中试研发平台建设项目（三期）</w:t>
      </w:r>
      <w:r>
        <w:rPr>
          <w:rFonts w:hint="eastAsia"/>
          <w:bCs/>
          <w:color w:val="auto"/>
          <w:kern w:val="0"/>
        </w:rPr>
        <w:t>总投资估算为</w:t>
      </w:r>
      <w:r>
        <w:rPr>
          <w:rFonts w:hint="eastAsia"/>
          <w:bCs/>
          <w:color w:val="auto"/>
          <w:kern w:val="0"/>
          <w:lang w:eastAsia="zh-CN"/>
        </w:rPr>
        <w:t>98,491.06</w:t>
      </w:r>
      <w:r>
        <w:rPr>
          <w:bCs/>
          <w:color w:val="auto"/>
          <w:kern w:val="0"/>
        </w:rPr>
        <w:t>万元。项目建成以后可获得</w:t>
      </w:r>
      <w:r>
        <w:rPr>
          <w:rFonts w:hint="eastAsia"/>
          <w:bCs/>
          <w:color w:val="auto"/>
          <w:kern w:val="0"/>
          <w:lang w:eastAsia="zh-CN"/>
        </w:rPr>
        <w:t>中试服务收入、设备租赁收入</w:t>
      </w:r>
      <w:r>
        <w:rPr>
          <w:bCs/>
          <w:color w:val="auto"/>
          <w:kern w:val="0"/>
        </w:rPr>
        <w:t>，可实现项目收入总计为</w:t>
      </w:r>
      <w:r>
        <w:rPr>
          <w:rFonts w:hint="eastAsia"/>
          <w:bCs/>
          <w:color w:val="auto"/>
          <w:kern w:val="0"/>
          <w:lang w:eastAsia="zh-CN"/>
        </w:rPr>
        <w:t>177,542.24</w:t>
      </w:r>
      <w:r>
        <w:rPr>
          <w:bCs/>
          <w:color w:val="auto"/>
          <w:kern w:val="0"/>
        </w:rPr>
        <w:t>万元，待本项目全部</w:t>
      </w:r>
      <w:r>
        <w:rPr>
          <w:rFonts w:hint="eastAsia"/>
          <w:bCs/>
          <w:color w:val="auto"/>
          <w:kern w:val="0"/>
          <w:lang w:eastAsia="zh-CN"/>
        </w:rPr>
        <w:t>75,000.00</w:t>
      </w:r>
      <w:r>
        <w:rPr>
          <w:bCs/>
          <w:color w:val="auto"/>
          <w:kern w:val="0"/>
        </w:rPr>
        <w:t>万元专项债到期时，在偿还到期的债券本息后，将仍有</w:t>
      </w:r>
      <w:r>
        <w:rPr>
          <w:rFonts w:hint="eastAsia"/>
          <w:bCs/>
          <w:color w:val="auto"/>
          <w:kern w:val="0"/>
          <w:lang w:eastAsia="zh-CN"/>
        </w:rPr>
        <w:t>15,475.65</w:t>
      </w:r>
      <w:r>
        <w:rPr>
          <w:bCs/>
          <w:color w:val="auto"/>
          <w:kern w:val="0"/>
        </w:rPr>
        <w:t>万元的累计现金结余。其中：项目债券本息覆盖倍数为</w:t>
      </w:r>
      <w:r>
        <w:rPr>
          <w:rFonts w:hint="eastAsia"/>
          <w:bCs/>
          <w:color w:val="auto"/>
          <w:kern w:val="0"/>
          <w:lang w:eastAsia="zh-CN"/>
        </w:rPr>
        <w:t>1.08</w:t>
      </w:r>
      <w:r>
        <w:rPr>
          <w:bCs/>
          <w:color w:val="auto"/>
          <w:kern w:val="0"/>
        </w:rPr>
        <w:t>倍。预期实现的运营净收入能够合理保障偿还融资本金和利息,能够实现项目收益和融资自求平衡。本项目</w:t>
      </w:r>
      <w:r>
        <w:rPr>
          <w:rFonts w:hint="eastAsia"/>
          <w:bCs/>
          <w:color w:val="auto"/>
          <w:kern w:val="0"/>
        </w:rPr>
        <w:t>建成后，规划容纳100家企业（团队）入驻，预计年营收超5亿元。这些企业广泛分布于电子信息产业的各个关键环节，从芯片设计、制造，到智能终端产品生产等。随着入驻企业生产规模逐步扩张，产品销售额持续攀升，将为区域经济注入源源不断的活力，成为拉动区域GDP增长的重要力量。以已入驻的部分芯片制造企业为例，其先进的生产工艺与大规模生产能力，不仅满足了本地市场对芯片的需求，还将产品远销至全国各地，极大地提升了区域在电子信息产业领域的经济份额。</w:t>
      </w:r>
    </w:p>
    <w:p w14:paraId="35EB3421">
      <w:pPr>
        <w:ind w:firstLine="480"/>
        <w:rPr>
          <w:bCs/>
          <w:color w:val="auto"/>
          <w:kern w:val="0"/>
        </w:rPr>
      </w:pPr>
      <w:r>
        <w:rPr>
          <w:rFonts w:hint="eastAsia"/>
          <w:bCs/>
          <w:color w:val="auto"/>
          <w:kern w:val="0"/>
        </w:rPr>
        <w:t>平台的发展如同强大的磁石，吸引了大量配套产业围绕其布局。周边的物流配送企业，为平台及入驻企业提供原材料运输、产品分发等服务，业务量随着平台的发展而迅速增长；餐饮、住宿等服务业也因平台带来的大量人流而蓬勃发展。这些配套产业的繁荣，进一步增加了区域的经济总量，形成了以平台为核心的经济增长辐射圈。</w:t>
      </w:r>
    </w:p>
    <w:p w14:paraId="6738E994">
      <w:pPr>
        <w:ind w:firstLine="480"/>
        <w:rPr>
          <w:rFonts w:hint="eastAsia"/>
          <w:bCs/>
          <w:color w:val="auto"/>
          <w:kern w:val="0"/>
        </w:rPr>
      </w:pPr>
      <w:r>
        <w:rPr>
          <w:rFonts w:hint="eastAsia"/>
          <w:bCs/>
          <w:color w:val="auto"/>
          <w:kern w:val="0"/>
        </w:rPr>
        <w:t>在社会效益方面，平台的建设吸引了产业链上下游企业集聚，形成了紧密的产业协同网络。上游的半导体材料供应商与平台内的芯片制造企业建立长期合作关系，确保原材料的稳定供应与技术适配；中游的芯片设计企业与制造企业协同创新，根据市场需求优化芯片设计与生产工艺；下游的智能终端企业则基于平台研发的芯片和技术，开发出更具竞争力的产品。重庆的汽车制造企业与内江平台及成都的高校科研团队合作，开展智能驾驶技术的研发与中试，整合各方优势资源，实现了汽车电子产业从技术研发到产品应用的全链条协同，提升了川渝地区在智能汽车产业的整体竞争力。</w:t>
      </w:r>
    </w:p>
    <w:p w14:paraId="66C26226">
      <w:pPr>
        <w:pStyle w:val="13"/>
        <w:rPr>
          <w:color w:val="auto"/>
        </w:rPr>
      </w:pPr>
    </w:p>
    <w:bookmarkEnd w:id="0"/>
    <w:p w14:paraId="079377D5">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三、项目投资估算及资金筹措方案</w:t>
      </w:r>
    </w:p>
    <w:p w14:paraId="64043EF4">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（一）投资估算</w:t>
      </w:r>
    </w:p>
    <w:p w14:paraId="2BBF5940">
      <w:pPr>
        <w:ind w:firstLine="480"/>
        <w:rPr>
          <w:color w:val="auto"/>
        </w:rPr>
      </w:pPr>
      <w:r>
        <w:rPr>
          <w:rFonts w:hint="eastAsia"/>
          <w:color w:val="auto"/>
        </w:rPr>
        <w:t>项目总投资估算为</w:t>
      </w:r>
      <w:r>
        <w:rPr>
          <w:rFonts w:hint="eastAsia"/>
          <w:color w:val="auto"/>
          <w:lang w:eastAsia="zh-CN"/>
        </w:rPr>
        <w:t>98,491.06</w:t>
      </w:r>
      <w:r>
        <w:rPr>
          <w:color w:val="auto"/>
        </w:rPr>
        <w:t>万元，其中工程费用为</w:t>
      </w:r>
      <w:r>
        <w:rPr>
          <w:rFonts w:hint="eastAsia"/>
          <w:color w:val="auto"/>
          <w:lang w:eastAsia="zh-CN"/>
        </w:rPr>
        <w:t>91,185.14</w:t>
      </w:r>
      <w:r>
        <w:rPr>
          <w:color w:val="auto"/>
        </w:rPr>
        <w:t>万元，工程建设其他费用为</w:t>
      </w:r>
      <w:r>
        <w:rPr>
          <w:rFonts w:hint="eastAsia"/>
          <w:color w:val="auto"/>
          <w:lang w:eastAsia="zh-CN"/>
        </w:rPr>
        <w:t>403.28</w:t>
      </w:r>
      <w:r>
        <w:rPr>
          <w:color w:val="auto"/>
        </w:rPr>
        <w:t>万元，基本预备费</w:t>
      </w:r>
      <w:r>
        <w:rPr>
          <w:rFonts w:hint="eastAsia"/>
          <w:color w:val="auto"/>
          <w:lang w:eastAsia="zh-CN"/>
        </w:rPr>
        <w:t>2,599.64</w:t>
      </w:r>
      <w:r>
        <w:rPr>
          <w:color w:val="auto"/>
        </w:rPr>
        <w:t>万元，建设期融资利息</w:t>
      </w:r>
      <w:r>
        <w:rPr>
          <w:rFonts w:hint="eastAsia"/>
          <w:color w:val="auto"/>
          <w:lang w:eastAsia="zh-CN"/>
        </w:rPr>
        <w:t>4,228.00</w:t>
      </w:r>
      <w:r>
        <w:rPr>
          <w:color w:val="auto"/>
        </w:rPr>
        <w:t>万元，债券发行费为</w:t>
      </w:r>
      <w:r>
        <w:rPr>
          <w:rFonts w:hint="eastAsia"/>
          <w:color w:val="auto"/>
          <w:lang w:eastAsia="zh-CN"/>
        </w:rPr>
        <w:t>75.00</w:t>
      </w:r>
      <w:r>
        <w:rPr>
          <w:color w:val="auto"/>
        </w:rPr>
        <w:t>万元。</w:t>
      </w:r>
    </w:p>
    <w:p w14:paraId="6FDB7688">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（二）资金筹措方案</w:t>
      </w:r>
    </w:p>
    <w:p w14:paraId="1B7FE4A8">
      <w:pPr>
        <w:spacing w:line="560" w:lineRule="exact"/>
        <w:ind w:firstLine="643"/>
        <w:rPr>
          <w:rFonts w:ascii="仿宋_GB2312" w:hAnsi="Calibri" w:eastAsia="仿宋_GB2312"/>
          <w:b/>
          <w:color w:val="auto"/>
          <w:sz w:val="32"/>
          <w:szCs w:val="32"/>
        </w:rPr>
      </w:pPr>
      <w:r>
        <w:rPr>
          <w:rFonts w:ascii="仿宋_GB2312" w:hAnsi="Calibri" w:eastAsia="仿宋_GB2312"/>
          <w:b/>
          <w:color w:val="auto"/>
          <w:sz w:val="32"/>
          <w:szCs w:val="32"/>
        </w:rPr>
        <w:t>1.</w:t>
      </w:r>
      <w:r>
        <w:rPr>
          <w:rFonts w:hint="eastAsia" w:ascii="仿宋_GB2312" w:hAnsi="Calibri" w:eastAsia="仿宋_GB2312"/>
          <w:b/>
          <w:color w:val="auto"/>
          <w:sz w:val="32"/>
          <w:szCs w:val="32"/>
        </w:rPr>
        <w:t>资金筹集情况</w:t>
      </w:r>
    </w:p>
    <w:p w14:paraId="55680EC9">
      <w:pPr>
        <w:ind w:firstLine="480"/>
        <w:rPr>
          <w:color w:val="auto"/>
        </w:rPr>
      </w:pPr>
      <w:r>
        <w:rPr>
          <w:rFonts w:hint="eastAsia"/>
          <w:color w:val="auto"/>
        </w:rPr>
        <w:t>该项目总投资估算为</w:t>
      </w:r>
      <w:r>
        <w:rPr>
          <w:rFonts w:hint="eastAsia"/>
          <w:color w:val="auto"/>
          <w:lang w:eastAsia="zh-CN"/>
        </w:rPr>
        <w:t>98,491.06</w:t>
      </w:r>
      <w:r>
        <w:rPr>
          <w:color w:val="auto"/>
        </w:rPr>
        <w:t>万元，资金来源于</w:t>
      </w:r>
      <w:r>
        <w:rPr>
          <w:rFonts w:hint="eastAsia"/>
          <w:color w:val="auto"/>
          <w:lang w:eastAsia="zh-CN"/>
        </w:rPr>
        <w:t>业主自筹</w:t>
      </w:r>
      <w:r>
        <w:rPr>
          <w:color w:val="auto"/>
        </w:rPr>
        <w:t>和专项债券资金。其中项目资本金</w:t>
      </w:r>
      <w:r>
        <w:rPr>
          <w:rFonts w:hint="eastAsia"/>
          <w:color w:val="auto"/>
          <w:lang w:eastAsia="zh-CN"/>
        </w:rPr>
        <w:t>23,491.06</w:t>
      </w:r>
      <w:r>
        <w:rPr>
          <w:color w:val="auto"/>
        </w:rPr>
        <w:t>万元，占总投资的</w:t>
      </w:r>
      <w:r>
        <w:rPr>
          <w:rFonts w:hint="eastAsia"/>
          <w:color w:val="auto"/>
          <w:lang w:eastAsia="zh-CN"/>
        </w:rPr>
        <w:t>23.85%</w:t>
      </w:r>
      <w:r>
        <w:rPr>
          <w:color w:val="auto"/>
        </w:rPr>
        <w:t>，由</w:t>
      </w:r>
      <w:r>
        <w:rPr>
          <w:rFonts w:hint="eastAsia"/>
          <w:color w:val="auto"/>
          <w:lang w:eastAsia="zh-CN"/>
        </w:rPr>
        <w:t>业主自筹</w:t>
      </w:r>
      <w:r>
        <w:rPr>
          <w:color w:val="auto"/>
        </w:rPr>
        <w:t>构成；剩余资金缺口拟通过发行</w:t>
      </w:r>
      <w:r>
        <w:rPr>
          <w:rFonts w:hint="eastAsia"/>
          <w:color w:val="auto"/>
          <w:lang w:eastAsia="zh-CN"/>
        </w:rPr>
        <w:t>75,000.00</w:t>
      </w:r>
      <w:r>
        <w:rPr>
          <w:color w:val="auto"/>
        </w:rPr>
        <w:t>万元专项债券融资，占总投资的</w:t>
      </w:r>
      <w:r>
        <w:rPr>
          <w:rFonts w:hint="eastAsia"/>
          <w:color w:val="auto"/>
          <w:lang w:eastAsia="zh-CN"/>
        </w:rPr>
        <w:t>76.15%</w:t>
      </w:r>
      <w:r>
        <w:rPr>
          <w:color w:val="auto"/>
        </w:rPr>
        <w:t>，融资利率</w:t>
      </w:r>
      <w:r>
        <w:rPr>
          <w:rFonts w:hint="eastAsia"/>
          <w:color w:val="auto"/>
          <w:lang w:eastAsia="zh-CN"/>
        </w:rPr>
        <w:t>2.80%</w:t>
      </w:r>
      <w:r>
        <w:rPr>
          <w:color w:val="auto"/>
        </w:rPr>
        <w:t>，期限</w:t>
      </w:r>
      <w:r>
        <w:rPr>
          <w:rFonts w:hint="eastAsia"/>
          <w:color w:val="auto"/>
          <w:lang w:val="en-US" w:eastAsia="zh-CN"/>
        </w:rPr>
        <w:t>30</w:t>
      </w:r>
      <w:r>
        <w:rPr>
          <w:color w:val="auto"/>
        </w:rPr>
        <w:t>年。</w:t>
      </w:r>
    </w:p>
    <w:p w14:paraId="20A028CB">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2.资金使用计划</w:t>
      </w:r>
    </w:p>
    <w:p w14:paraId="1323F079">
      <w:pPr>
        <w:ind w:firstLine="480"/>
        <w:rPr>
          <w:color w:val="auto"/>
        </w:rPr>
      </w:pPr>
      <w:r>
        <w:rPr>
          <w:rFonts w:hint="eastAsia"/>
          <w:color w:val="auto"/>
        </w:rPr>
        <w:t>根据项目建设进度及建设内容和业主的资金安排，项目建设资金将在前</w:t>
      </w:r>
      <w:r>
        <w:rPr>
          <w:rFonts w:hint="eastAsia"/>
          <w:color w:val="auto"/>
          <w:lang w:val="en-US" w:eastAsia="zh-CN"/>
        </w:rPr>
        <w:t>3</w:t>
      </w:r>
      <w:r>
        <w:rPr>
          <w:rFonts w:hint="eastAsia"/>
          <w:color w:val="auto"/>
        </w:rPr>
        <w:t>年投入，建设计划、资金使用与投资计划相匹配。本项目</w:t>
      </w:r>
      <w:r>
        <w:rPr>
          <w:rFonts w:hint="eastAsia"/>
          <w:color w:val="auto"/>
          <w:lang w:bidi="ar"/>
        </w:rPr>
        <w:t>施工划分为</w:t>
      </w:r>
      <w:r>
        <w:rPr>
          <w:rFonts w:hint="eastAsia"/>
          <w:color w:val="auto"/>
          <w:lang w:val="en-US" w:eastAsia="zh-CN" w:bidi="ar"/>
        </w:rPr>
        <w:t>2</w:t>
      </w:r>
      <w:r>
        <w:rPr>
          <w:rFonts w:hint="eastAsia"/>
          <w:color w:val="auto"/>
          <w:lang w:bidi="ar"/>
        </w:rPr>
        <w:t>个阶段，耗时</w:t>
      </w:r>
      <w:r>
        <w:rPr>
          <w:rFonts w:hint="eastAsia"/>
          <w:color w:val="auto"/>
          <w:lang w:val="en-US" w:eastAsia="zh-CN" w:bidi="ar"/>
        </w:rPr>
        <w:t>3</w:t>
      </w:r>
      <w:r>
        <w:rPr>
          <w:rFonts w:hint="eastAsia"/>
          <w:color w:val="auto"/>
          <w:lang w:bidi="ar"/>
        </w:rPr>
        <w:t>年</w:t>
      </w:r>
      <w:r>
        <w:rPr>
          <w:rFonts w:hint="eastAsia"/>
          <w:color w:val="auto"/>
        </w:rPr>
        <w:t>（含前期工作时间）。从</w:t>
      </w:r>
      <w:r>
        <w:rPr>
          <w:rFonts w:hint="eastAsia"/>
          <w:color w:val="auto"/>
          <w:lang w:val="en-US" w:eastAsia="zh-CN"/>
        </w:rPr>
        <w:t>2025</w:t>
      </w:r>
      <w:r>
        <w:rPr>
          <w:color w:val="auto"/>
        </w:rPr>
        <w:t>年</w:t>
      </w:r>
      <w:r>
        <w:rPr>
          <w:rFonts w:hint="eastAsia"/>
          <w:color w:val="auto"/>
          <w:lang w:val="en-US" w:eastAsia="zh-CN"/>
        </w:rPr>
        <w:t>9</w:t>
      </w:r>
      <w:r>
        <w:rPr>
          <w:color w:val="auto"/>
        </w:rPr>
        <w:t>月初开始施工建设，</w:t>
      </w:r>
      <w:r>
        <w:rPr>
          <w:rFonts w:hint="eastAsia"/>
          <w:color w:val="auto"/>
          <w:lang w:val="en-US" w:eastAsia="zh-CN"/>
        </w:rPr>
        <w:t>2028</w:t>
      </w:r>
      <w:r>
        <w:rPr>
          <w:color w:val="auto"/>
        </w:rPr>
        <w:t>年</w:t>
      </w:r>
      <w:r>
        <w:rPr>
          <w:rFonts w:hint="eastAsia"/>
          <w:color w:val="auto"/>
          <w:lang w:val="en-US" w:eastAsia="zh-CN"/>
        </w:rPr>
        <w:t>8</w:t>
      </w:r>
      <w:r>
        <w:rPr>
          <w:color w:val="auto"/>
        </w:rPr>
        <w:t>月完成竣工验收。工程施工阶段在</w:t>
      </w:r>
      <w:r>
        <w:rPr>
          <w:rFonts w:hint="eastAsia"/>
          <w:color w:val="auto"/>
          <w:lang w:val="en-US" w:eastAsia="zh-CN"/>
        </w:rPr>
        <w:t>2028</w:t>
      </w:r>
      <w:r>
        <w:rPr>
          <w:color w:val="auto"/>
        </w:rPr>
        <w:t>年</w:t>
      </w:r>
      <w:r>
        <w:rPr>
          <w:rFonts w:hint="eastAsia"/>
          <w:color w:val="auto"/>
          <w:lang w:val="en-US" w:eastAsia="zh-CN"/>
        </w:rPr>
        <w:t>8</w:t>
      </w:r>
      <w:r>
        <w:rPr>
          <w:color w:val="auto"/>
        </w:rPr>
        <w:t>月前完成，于</w:t>
      </w:r>
      <w:r>
        <w:rPr>
          <w:rFonts w:hint="eastAsia"/>
          <w:color w:val="auto"/>
          <w:lang w:val="en-US" w:eastAsia="zh-CN"/>
        </w:rPr>
        <w:t>2028</w:t>
      </w:r>
      <w:r>
        <w:rPr>
          <w:color w:val="auto"/>
        </w:rPr>
        <w:t>年</w:t>
      </w:r>
      <w:r>
        <w:rPr>
          <w:rFonts w:hint="eastAsia"/>
          <w:color w:val="auto"/>
          <w:lang w:val="en-US" w:eastAsia="zh-CN"/>
        </w:rPr>
        <w:t>8</w:t>
      </w:r>
      <w:r>
        <w:rPr>
          <w:color w:val="auto"/>
        </w:rPr>
        <w:t>月，项目竣工验收，并交付使用。</w:t>
      </w:r>
      <w:r>
        <w:rPr>
          <w:rFonts w:hint="eastAsia"/>
          <w:color w:val="auto"/>
        </w:rPr>
        <w:t>按照建设进度，建设期第</w:t>
      </w:r>
      <w:r>
        <w:rPr>
          <w:rFonts w:hint="eastAsia"/>
          <w:color w:val="auto"/>
          <w:lang w:val="en-US" w:eastAsia="zh-CN"/>
        </w:rPr>
        <w:t>1</w:t>
      </w:r>
      <w:r>
        <w:rPr>
          <w:rFonts w:hint="eastAsia"/>
          <w:color w:val="auto"/>
        </w:rPr>
        <w:t>年（含以前年度）计划投资33,527.62万元，第</w:t>
      </w:r>
      <w:r>
        <w:rPr>
          <w:rFonts w:hint="eastAsia"/>
          <w:color w:val="auto"/>
          <w:lang w:val="en-US" w:eastAsia="zh-CN"/>
        </w:rPr>
        <w:t>2</w:t>
      </w:r>
      <w:r>
        <w:rPr>
          <w:rFonts w:hint="eastAsia"/>
          <w:color w:val="auto"/>
        </w:rPr>
        <w:t>年计划投资34,487.62万元</w:t>
      </w:r>
      <w:r>
        <w:rPr>
          <w:rFonts w:hint="eastAsia"/>
          <w:color w:val="auto"/>
          <w:lang w:eastAsia="zh-CN"/>
        </w:rPr>
        <w:t>，</w:t>
      </w:r>
      <w:r>
        <w:rPr>
          <w:rFonts w:hint="eastAsia"/>
          <w:color w:val="auto"/>
          <w:lang w:val="en-US" w:eastAsia="zh-CN"/>
        </w:rPr>
        <w:t>第3年计划投资30,475.82万元。</w:t>
      </w:r>
    </w:p>
    <w:p w14:paraId="6BA88D91">
      <w:pPr>
        <w:pStyle w:val="29"/>
        <w:rPr>
          <w:color w:val="auto"/>
        </w:rPr>
      </w:pPr>
      <w:r>
        <w:rPr>
          <w:rFonts w:hint="eastAsia"/>
          <w:color w:val="auto"/>
          <w:lang w:bidi="ar"/>
        </w:rPr>
        <w:t>资金使用计划表（</w:t>
      </w:r>
      <w:r>
        <w:rPr>
          <w:rFonts w:hint="eastAsia"/>
          <w:color w:val="auto"/>
        </w:rPr>
        <w:t>金额单位：</w:t>
      </w:r>
      <w:r>
        <w:rPr>
          <w:rFonts w:hint="eastAsia"/>
          <w:color w:val="auto"/>
          <w:lang w:val="zh-CN"/>
        </w:rPr>
        <w:t>人民币</w:t>
      </w:r>
      <w:r>
        <w:rPr>
          <w:rFonts w:hint="eastAsia"/>
          <w:color w:val="auto"/>
        </w:rPr>
        <w:t>万元）</w:t>
      </w:r>
    </w:p>
    <w:tbl>
      <w:tblPr>
        <w:tblStyle w:val="14"/>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95"/>
        <w:gridCol w:w="1939"/>
        <w:gridCol w:w="975"/>
        <w:gridCol w:w="1183"/>
        <w:gridCol w:w="1183"/>
        <w:gridCol w:w="977"/>
        <w:gridCol w:w="761"/>
      </w:tblGrid>
      <w:tr w14:paraId="44136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jc w:val="center"/>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E2A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11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AEC72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项目名称</w:t>
            </w:r>
          </w:p>
        </w:tc>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37B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合计</w:t>
            </w:r>
          </w:p>
        </w:tc>
        <w:tc>
          <w:tcPr>
            <w:tcW w:w="199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C2443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资金来源及分年使用计划</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2D0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比例</w:t>
            </w:r>
          </w:p>
        </w:tc>
      </w:tr>
      <w:tr w14:paraId="07F78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jc w:val="center"/>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FC232">
            <w:pPr>
              <w:jc w:val="center"/>
              <w:rPr>
                <w:rFonts w:hint="eastAsia" w:ascii="仿宋" w:hAnsi="仿宋" w:eastAsia="仿宋" w:cs="仿宋"/>
                <w:b w:val="0"/>
                <w:bCs w:val="0"/>
                <w:i w:val="0"/>
                <w:iCs w:val="0"/>
                <w:color w:val="auto"/>
                <w:sz w:val="16"/>
                <w:szCs w:val="16"/>
                <w:u w:val="none"/>
              </w:rPr>
            </w:pPr>
          </w:p>
        </w:tc>
        <w:tc>
          <w:tcPr>
            <w:tcW w:w="11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90A06">
            <w:pPr>
              <w:jc w:val="center"/>
              <w:rPr>
                <w:rFonts w:hint="eastAsia" w:ascii="仿宋" w:hAnsi="仿宋" w:eastAsia="仿宋" w:cs="仿宋"/>
                <w:b w:val="0"/>
                <w:bCs w:val="0"/>
                <w:i w:val="0"/>
                <w:iCs w:val="0"/>
                <w:color w:val="auto"/>
                <w:sz w:val="16"/>
                <w:szCs w:val="16"/>
                <w:u w:val="none"/>
              </w:rPr>
            </w:pPr>
          </w:p>
        </w:tc>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8C3">
            <w:pPr>
              <w:jc w:val="center"/>
              <w:rPr>
                <w:rFonts w:hint="eastAsia" w:ascii="仿宋" w:hAnsi="仿宋" w:eastAsia="仿宋" w:cs="仿宋"/>
                <w:b w:val="0"/>
                <w:bCs w:val="0"/>
                <w:i w:val="0"/>
                <w:iCs w:val="0"/>
                <w:color w:val="auto"/>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7693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第一年</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23C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第二年</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8E6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第三年</w:t>
            </w: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39F95">
            <w:pPr>
              <w:jc w:val="center"/>
              <w:rPr>
                <w:rFonts w:hint="eastAsia" w:ascii="仿宋" w:hAnsi="仿宋" w:eastAsia="仿宋" w:cs="仿宋"/>
                <w:b w:val="0"/>
                <w:bCs w:val="0"/>
                <w:i w:val="0"/>
                <w:iCs w:val="0"/>
                <w:color w:val="auto"/>
                <w:sz w:val="16"/>
                <w:szCs w:val="16"/>
                <w:u w:val="none"/>
              </w:rPr>
            </w:pPr>
          </w:p>
        </w:tc>
      </w:tr>
      <w:tr w14:paraId="3872B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jc w:val="center"/>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87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项目投资</w:t>
            </w: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B41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项目建设总投资</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5B7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94,188.06</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415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32,802.62</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781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33,033.62</w:t>
            </w: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37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28,351.82</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8DBD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95.63%</w:t>
            </w:r>
          </w:p>
        </w:tc>
      </w:tr>
      <w:tr w14:paraId="34275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2470">
            <w:pPr>
              <w:jc w:val="center"/>
              <w:rPr>
                <w:rFonts w:hint="eastAsia" w:ascii="仿宋" w:hAnsi="仿宋" w:eastAsia="仿宋" w:cs="仿宋"/>
                <w:i w:val="0"/>
                <w:iCs w:val="0"/>
                <w:color w:val="auto"/>
                <w:sz w:val="16"/>
                <w:szCs w:val="16"/>
                <w:u w:val="none"/>
              </w:rPr>
            </w:pP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55F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项目建设期发债利息</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A1C2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4,228.00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0881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8FC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1,428.00</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BD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A9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4.29%</w:t>
            </w:r>
          </w:p>
        </w:tc>
      </w:tr>
      <w:tr w14:paraId="2DEE2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jc w:val="center"/>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AB97">
            <w:pPr>
              <w:jc w:val="center"/>
              <w:rPr>
                <w:rFonts w:hint="eastAsia" w:ascii="仿宋" w:hAnsi="仿宋" w:eastAsia="仿宋" w:cs="仿宋"/>
                <w:i w:val="0"/>
                <w:iCs w:val="0"/>
                <w:color w:val="auto"/>
                <w:sz w:val="16"/>
                <w:szCs w:val="16"/>
                <w:u w:val="none"/>
              </w:rPr>
            </w:pP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37D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债券发行费</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376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BED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5D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26.00</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F2C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E25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0.08%</w:t>
            </w:r>
          </w:p>
        </w:tc>
      </w:tr>
      <w:tr w14:paraId="53464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jc w:val="center"/>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D7B0B">
            <w:pPr>
              <w:jc w:val="center"/>
              <w:rPr>
                <w:rFonts w:hint="eastAsia" w:ascii="仿宋" w:hAnsi="仿宋" w:eastAsia="仿宋" w:cs="仿宋"/>
                <w:i w:val="0"/>
                <w:iCs w:val="0"/>
                <w:color w:val="auto"/>
                <w:sz w:val="16"/>
                <w:szCs w:val="16"/>
                <w:u w:val="none"/>
              </w:rPr>
            </w:pP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33D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项目总投资</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1AE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98,491.06</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9D8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33,527.62</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46D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34,487.62</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FD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30,475.82</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6E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100.00%</w:t>
            </w:r>
          </w:p>
        </w:tc>
      </w:tr>
      <w:tr w14:paraId="5FED4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jc w:val="center"/>
        </w:trPr>
        <w:tc>
          <w:tcPr>
            <w:tcW w:w="77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BDA7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资金使用计划</w:t>
            </w:r>
          </w:p>
        </w:tc>
        <w:tc>
          <w:tcPr>
            <w:tcW w:w="11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371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资本金</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293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23,491.06</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33A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8,527.62</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CF2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8,487.62</w:t>
            </w: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2C3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6,475.82</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AFB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23.85%</w:t>
            </w:r>
          </w:p>
        </w:tc>
      </w:tr>
      <w:tr w14:paraId="14743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42C5D">
            <w:pPr>
              <w:jc w:val="center"/>
              <w:rPr>
                <w:rFonts w:hint="eastAsia" w:ascii="仿宋" w:hAnsi="仿宋" w:eastAsia="仿宋" w:cs="仿宋"/>
                <w:i w:val="0"/>
                <w:iCs w:val="0"/>
                <w:color w:val="auto"/>
                <w:sz w:val="16"/>
                <w:szCs w:val="16"/>
                <w:u w:val="none"/>
              </w:rPr>
            </w:pP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9BF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发行债券</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56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01E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25,000.00</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5B5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26,000.00</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7A8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24,000.00</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61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76.15%</w:t>
            </w:r>
          </w:p>
        </w:tc>
      </w:tr>
      <w:tr w14:paraId="464C8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jc w:val="center"/>
        </w:trPr>
        <w:tc>
          <w:tcPr>
            <w:tcW w:w="77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1E4E">
            <w:pPr>
              <w:jc w:val="center"/>
              <w:rPr>
                <w:rFonts w:hint="eastAsia" w:ascii="仿宋" w:hAnsi="仿宋" w:eastAsia="仿宋" w:cs="仿宋"/>
                <w:i w:val="0"/>
                <w:iCs w:val="0"/>
                <w:color w:val="auto"/>
                <w:sz w:val="16"/>
                <w:szCs w:val="16"/>
                <w:u w:val="none"/>
              </w:rPr>
            </w:pPr>
          </w:p>
        </w:tc>
        <w:tc>
          <w:tcPr>
            <w:tcW w:w="1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84F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资金使用合计</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0A69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98,491.06</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985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33,527.62</w:t>
            </w:r>
          </w:p>
        </w:tc>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617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34,487.62</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40C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30,475.82</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42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100.00%</w:t>
            </w:r>
          </w:p>
        </w:tc>
      </w:tr>
    </w:tbl>
    <w:p w14:paraId="6F6271A9">
      <w:pPr>
        <w:spacing w:line="560" w:lineRule="exact"/>
        <w:ind w:firstLine="640"/>
        <w:rPr>
          <w:rFonts w:hint="eastAsia" w:ascii="黑体" w:hAnsi="黑体" w:eastAsia="黑体"/>
          <w:color w:val="auto"/>
          <w:sz w:val="32"/>
          <w:szCs w:val="32"/>
        </w:rPr>
      </w:pPr>
    </w:p>
    <w:p w14:paraId="1901F885">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四、项目预期收益、成本及融资平衡情况</w:t>
      </w:r>
    </w:p>
    <w:p w14:paraId="091A2241">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（一）预期收益</w:t>
      </w:r>
    </w:p>
    <w:p w14:paraId="5F034247">
      <w:pPr>
        <w:spacing w:line="560" w:lineRule="exact"/>
        <w:ind w:firstLine="643"/>
        <w:rPr>
          <w:rFonts w:ascii="仿宋_GB2312" w:hAnsi="Calibri" w:eastAsia="仿宋_GB2312"/>
          <w:b/>
          <w:color w:val="auto"/>
          <w:sz w:val="32"/>
          <w:szCs w:val="32"/>
        </w:rPr>
      </w:pPr>
      <w:r>
        <w:rPr>
          <w:rFonts w:hint="eastAsia" w:ascii="仿宋_GB2312" w:hAnsi="Calibri" w:eastAsia="仿宋_GB2312"/>
          <w:b/>
          <w:color w:val="auto"/>
          <w:sz w:val="32"/>
          <w:szCs w:val="32"/>
        </w:rPr>
        <w:t>1.项目收入</w:t>
      </w:r>
    </w:p>
    <w:p w14:paraId="7CF63DC4">
      <w:pPr>
        <w:ind w:firstLine="480"/>
        <w:rPr>
          <w:color w:val="auto"/>
        </w:rPr>
      </w:pPr>
      <w:bookmarkStart w:id="1" w:name="_Hlk43423686"/>
      <w:bookmarkStart w:id="2" w:name="_Hlk41910341"/>
      <w:r>
        <w:rPr>
          <w:rFonts w:hint="eastAsia"/>
          <w:color w:val="auto"/>
        </w:rPr>
        <w:t>川渝新一代电子信息技术产业中试研发平台建设项目（三期）收入来源主要为项目建成后</w:t>
      </w:r>
      <w:r>
        <w:rPr>
          <w:rFonts w:hint="eastAsia"/>
          <w:color w:val="auto"/>
          <w:lang w:eastAsia="zh-CN"/>
        </w:rPr>
        <w:t>中试服务收入、设备租赁收入</w:t>
      </w:r>
      <w:r>
        <w:rPr>
          <w:rFonts w:hint="eastAsia"/>
          <w:color w:val="auto"/>
        </w:rPr>
        <w:t>。项目运营期内运营收入合计177,542.24</w:t>
      </w:r>
      <w:r>
        <w:rPr>
          <w:color w:val="auto"/>
        </w:rPr>
        <w:t>万元，属于专项收入，纳入政府性基金预算管理。项目收入来源有事实依据，整体具有可行性。</w:t>
      </w:r>
    </w:p>
    <w:bookmarkEnd w:id="1"/>
    <w:p w14:paraId="35FE09A1">
      <w:pPr>
        <w:spacing w:line="240" w:lineRule="auto"/>
        <w:ind w:firstLine="480"/>
        <w:rPr>
          <w:rFonts w:ascii="仿宋_GB2312" w:hAnsi="Calibri" w:eastAsia="仿宋_GB2312"/>
          <w:b/>
          <w:color w:val="auto"/>
          <w:sz w:val="32"/>
          <w:szCs w:val="32"/>
        </w:rPr>
      </w:pPr>
      <w:r>
        <w:rPr>
          <w:rFonts w:hint="eastAsia" w:ascii="仿宋_GB2312" w:hAnsi="Calibri" w:eastAsia="仿宋_GB2312"/>
          <w:b/>
          <w:color w:val="auto"/>
          <w:sz w:val="32"/>
          <w:szCs w:val="32"/>
        </w:rPr>
        <w:t>2.项目成本</w:t>
      </w:r>
    </w:p>
    <w:p w14:paraId="5F085CAE">
      <w:pPr>
        <w:ind w:firstLine="480"/>
        <w:rPr>
          <w:bCs/>
          <w:color w:val="auto"/>
          <w:kern w:val="0"/>
        </w:rPr>
      </w:pPr>
      <w:r>
        <w:rPr>
          <w:rFonts w:hint="eastAsia"/>
          <w:bCs/>
          <w:color w:val="auto"/>
          <w:kern w:val="0"/>
        </w:rPr>
        <w:t>本项目建成后运营期间的成本费用，共计163,187.62</w:t>
      </w:r>
      <w:r>
        <w:rPr>
          <w:bCs/>
          <w:color w:val="auto"/>
          <w:kern w:val="0"/>
        </w:rPr>
        <w:t>万元，主要包括动力费、人员工资及福利费、修缮费、其他费用、折旧与摊销、相关税费和利息。</w:t>
      </w:r>
    </w:p>
    <w:p w14:paraId="40C0BD2A">
      <w:pPr>
        <w:pStyle w:val="13"/>
        <w:rPr>
          <w:color w:val="auto"/>
        </w:rPr>
      </w:pPr>
    </w:p>
    <w:p w14:paraId="4A3DE973">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（二）资金测算平衡情况</w:t>
      </w:r>
    </w:p>
    <w:p w14:paraId="224EDAA3">
      <w:pPr>
        <w:ind w:firstLine="480"/>
        <w:rPr>
          <w:color w:val="auto"/>
        </w:rPr>
      </w:pPr>
      <w:r>
        <w:rPr>
          <w:rFonts w:hint="eastAsia"/>
          <w:color w:val="auto"/>
          <w:lang w:eastAsia="zh-CN"/>
        </w:rPr>
        <w:t>川渝新一代电子信息技术产业中试研发平台建设项目（三期）</w:t>
      </w:r>
      <w:r>
        <w:rPr>
          <w:rFonts w:hint="eastAsia"/>
          <w:color w:val="auto"/>
        </w:rPr>
        <w:t>采用政府专项债的方式融资，待本项目全部</w:t>
      </w:r>
      <w:r>
        <w:rPr>
          <w:rFonts w:hint="eastAsia"/>
          <w:color w:val="auto"/>
          <w:lang w:eastAsia="zh-CN"/>
        </w:rPr>
        <w:t>75,000.00</w:t>
      </w:r>
      <w:r>
        <w:rPr>
          <w:color w:val="auto"/>
        </w:rPr>
        <w:t>万元专项债券到期时，在偿还当年到期的专项债券本息后，将仍有</w:t>
      </w:r>
      <w:r>
        <w:rPr>
          <w:rFonts w:hint="eastAsia"/>
          <w:color w:val="auto"/>
          <w:lang w:eastAsia="zh-CN"/>
        </w:rPr>
        <w:t>15,475.65</w:t>
      </w:r>
      <w:r>
        <w:rPr>
          <w:color w:val="auto"/>
        </w:rPr>
        <w:t>万元的累计现金结余，本期债券本息的覆盖率为</w:t>
      </w:r>
      <w:r>
        <w:rPr>
          <w:rFonts w:hint="eastAsia"/>
          <w:color w:val="auto"/>
          <w:lang w:eastAsia="zh-CN"/>
        </w:rPr>
        <w:t>1.08</w:t>
      </w:r>
      <w:r>
        <w:rPr>
          <w:color w:val="auto"/>
        </w:rPr>
        <w:t>倍，预期实现的运营净收入能够合理保障偿还融资本金和利息,能够实现项目收益和融资自求平衡。</w:t>
      </w:r>
    </w:p>
    <w:p w14:paraId="2AE18A43">
      <w:pPr>
        <w:ind w:firstLine="480"/>
        <w:rPr>
          <w:color w:val="auto"/>
        </w:rPr>
      </w:pPr>
      <w:r>
        <w:rPr>
          <w:rFonts w:hint="eastAsia"/>
          <w:color w:val="auto"/>
        </w:rPr>
        <w:t>项目资金测算平衡情况如下表所示：</w:t>
      </w:r>
    </w:p>
    <w:p w14:paraId="48D13887">
      <w:pPr>
        <w:ind w:firstLine="480"/>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74063A7C">
      <w:pPr>
        <w:pStyle w:val="29"/>
        <w:rPr>
          <w:color w:val="auto"/>
        </w:rPr>
      </w:pPr>
      <w:r>
        <w:rPr>
          <w:color w:val="auto"/>
        </w:rPr>
        <w:t>项目专项债券</w:t>
      </w:r>
      <w:r>
        <w:rPr>
          <w:rFonts w:hint="eastAsia"/>
          <w:color w:val="auto"/>
          <w:lang w:val="en-US" w:eastAsia="zh-Hans"/>
        </w:rPr>
        <w:t>还本付息表</w:t>
      </w:r>
      <w:r>
        <w:rPr>
          <w:rFonts w:hint="eastAsia"/>
          <w:color w:val="auto"/>
        </w:rPr>
        <w:t>（金额单位：人民币万元）</w:t>
      </w:r>
    </w:p>
    <w:tbl>
      <w:tblPr>
        <w:tblStyle w:val="1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30"/>
        <w:gridCol w:w="1774"/>
        <w:gridCol w:w="811"/>
        <w:gridCol w:w="731"/>
        <w:gridCol w:w="731"/>
        <w:gridCol w:w="740"/>
        <w:gridCol w:w="731"/>
        <w:gridCol w:w="731"/>
        <w:gridCol w:w="731"/>
        <w:gridCol w:w="731"/>
        <w:gridCol w:w="731"/>
        <w:gridCol w:w="731"/>
        <w:gridCol w:w="731"/>
        <w:gridCol w:w="731"/>
        <w:gridCol w:w="731"/>
        <w:gridCol w:w="731"/>
        <w:gridCol w:w="731"/>
        <w:gridCol w:w="731"/>
        <w:gridCol w:w="734"/>
        <w:gridCol w:w="777"/>
      </w:tblGrid>
      <w:tr w14:paraId="4E231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jc w:val="center"/>
        </w:trPr>
        <w:tc>
          <w:tcPr>
            <w:tcW w:w="1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317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575" w:type="pct"/>
            <w:vMerge w:val="restart"/>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712EB73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      年份</w:t>
            </w:r>
          </w:p>
        </w:tc>
        <w:tc>
          <w:tcPr>
            <w:tcW w:w="2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AC1B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合计</w:t>
            </w:r>
          </w:p>
        </w:tc>
        <w:tc>
          <w:tcPr>
            <w:tcW w:w="714" w:type="pct"/>
            <w:gridSpan w:val="3"/>
            <w:tcBorders>
              <w:top w:val="single" w:color="000000" w:sz="4" w:space="0"/>
              <w:left w:val="single" w:color="000000" w:sz="4" w:space="0"/>
              <w:bottom w:val="single" w:color="000000" w:sz="4" w:space="0"/>
              <w:right w:val="nil"/>
            </w:tcBorders>
            <w:shd w:val="clear" w:color="auto" w:fill="auto"/>
            <w:noWrap/>
            <w:vAlign w:val="center"/>
          </w:tcPr>
          <w:p w14:paraId="4C8DFDC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建设期</w:t>
            </w:r>
          </w:p>
        </w:tc>
        <w:tc>
          <w:tcPr>
            <w:tcW w:w="3334" w:type="pct"/>
            <w:gridSpan w:val="14"/>
            <w:tcBorders>
              <w:top w:val="single" w:color="000000" w:sz="4" w:space="0"/>
              <w:left w:val="single" w:color="000000" w:sz="4" w:space="0"/>
              <w:bottom w:val="single" w:color="000000" w:sz="4" w:space="0"/>
              <w:right w:val="nil"/>
            </w:tcBorders>
            <w:shd w:val="clear" w:color="auto" w:fill="auto"/>
            <w:vAlign w:val="center"/>
          </w:tcPr>
          <w:p w14:paraId="7A1F6D20">
            <w:pPr>
              <w:jc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项目还款期</w:t>
            </w:r>
          </w:p>
        </w:tc>
      </w:tr>
      <w:tr w14:paraId="65D90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22B6">
            <w:pPr>
              <w:jc w:val="center"/>
              <w:rPr>
                <w:rFonts w:hint="eastAsia" w:ascii="仿宋" w:hAnsi="仿宋" w:eastAsia="仿宋" w:cs="仿宋"/>
                <w:b w:val="0"/>
                <w:bCs w:val="0"/>
                <w:i w:val="0"/>
                <w:iCs w:val="0"/>
                <w:color w:val="auto"/>
                <w:sz w:val="16"/>
                <w:szCs w:val="16"/>
                <w:u w:val="none"/>
              </w:rPr>
            </w:pPr>
          </w:p>
        </w:tc>
        <w:tc>
          <w:tcPr>
            <w:tcW w:w="575" w:type="pct"/>
            <w:vMerge w:val="continue"/>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4C9CA99D">
            <w:pPr>
              <w:jc w:val="center"/>
              <w:rPr>
                <w:rFonts w:hint="eastAsia" w:ascii="仿宋" w:hAnsi="仿宋" w:eastAsia="仿宋" w:cs="仿宋"/>
                <w:b w:val="0"/>
                <w:bCs w:val="0"/>
                <w:i w:val="0"/>
                <w:iCs w:val="0"/>
                <w:color w:val="auto"/>
                <w:sz w:val="16"/>
                <w:szCs w:val="16"/>
                <w:u w:val="none"/>
              </w:rPr>
            </w:pPr>
          </w:p>
        </w:tc>
        <w:tc>
          <w:tcPr>
            <w:tcW w:w="2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EA21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9FF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C30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3E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21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1877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F3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F532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91C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C58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CE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CE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6E3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FD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0C6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81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3A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F6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w:t>
            </w:r>
          </w:p>
        </w:tc>
      </w:tr>
      <w:tr w14:paraId="0A536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52B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一</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407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发行债券（利率）</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270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235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59A7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B9E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A79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D8F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770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290C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A7B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8F5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1CA5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3AA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9DCB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236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B6C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11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03B6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625E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r>
      <w:tr w14:paraId="2A603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4AA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A55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期初本金金额</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C220">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BE632">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4A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59D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51,000.00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8C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94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C60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928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56E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FCA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4E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81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992D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4F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7F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BB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D6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FD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r>
      <w:tr w14:paraId="31AD3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C1D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A75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本年新增本金</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22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69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DB87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26,000.00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9F7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A1F2B">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0E01">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EA4E">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C01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2380">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A37A">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82A8">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93E9">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C6C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B4F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9F7E5">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E5D88">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950B">
            <w:pPr>
              <w:jc w:val="center"/>
              <w:rPr>
                <w:rFonts w:hint="eastAsia" w:ascii="仿宋" w:hAnsi="仿宋" w:eastAsia="仿宋" w:cs="仿宋"/>
                <w:i w:val="0"/>
                <w:iCs w:val="0"/>
                <w:color w:val="auto"/>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B6879">
            <w:pPr>
              <w:jc w:val="center"/>
              <w:rPr>
                <w:rFonts w:hint="eastAsia" w:ascii="仿宋" w:hAnsi="仿宋" w:eastAsia="仿宋" w:cs="仿宋"/>
                <w:i w:val="0"/>
                <w:iCs w:val="0"/>
                <w:color w:val="auto"/>
                <w:sz w:val="16"/>
                <w:szCs w:val="16"/>
                <w:u w:val="none"/>
              </w:rPr>
            </w:pPr>
          </w:p>
        </w:tc>
      </w:tr>
      <w:tr w14:paraId="6FCA3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42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651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本年应计利息</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CC6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63,000.00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E2D2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1B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1,428.00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C14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8ED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89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C93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894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59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4677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76C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57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57C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232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8C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9B0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E4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E0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r>
      <w:tr w14:paraId="50EC9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94AD2">
            <w:pPr>
              <w:jc w:val="center"/>
              <w:rPr>
                <w:rFonts w:hint="eastAsia" w:ascii="仿宋" w:hAnsi="仿宋" w:eastAsia="仿宋" w:cs="仿宋"/>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169C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其中：计入建设期利息</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2AC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4,228.00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110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B7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1,428.00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4CA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92B55">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47E9">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A5FF">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8DFE3">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2CE54">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5CA6F">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0E6E9">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6F9AB">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7B8EF">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136E">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867BA">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9E7B">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D10C0">
            <w:pPr>
              <w:jc w:val="center"/>
              <w:rPr>
                <w:rFonts w:hint="eastAsia" w:ascii="仿宋" w:hAnsi="仿宋" w:eastAsia="仿宋" w:cs="仿宋"/>
                <w:i w:val="0"/>
                <w:iCs w:val="0"/>
                <w:color w:val="auto"/>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7BF9A">
            <w:pPr>
              <w:jc w:val="center"/>
              <w:rPr>
                <w:rFonts w:hint="eastAsia" w:ascii="仿宋" w:hAnsi="仿宋" w:eastAsia="仿宋" w:cs="仿宋"/>
                <w:i w:val="0"/>
                <w:iCs w:val="0"/>
                <w:color w:val="auto"/>
                <w:sz w:val="16"/>
                <w:szCs w:val="16"/>
                <w:u w:val="none"/>
              </w:rPr>
            </w:pPr>
          </w:p>
        </w:tc>
      </w:tr>
      <w:tr w14:paraId="1735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7C664">
            <w:pPr>
              <w:jc w:val="center"/>
              <w:rPr>
                <w:rFonts w:hint="eastAsia" w:ascii="仿宋" w:hAnsi="仿宋" w:eastAsia="仿宋" w:cs="仿宋"/>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5E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计入还款期利息</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092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58,772.00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66F1F">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71F5">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6BF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ED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781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28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4AEC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7CF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1C07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7F9B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4DA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220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F8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9F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B9C8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F9F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6C18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r>
      <w:tr w14:paraId="2BA4F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5B7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5F8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本年还本付息</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7D3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138,000.00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D68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21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1,428.00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84F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84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31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089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6DD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2D1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75B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6E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2CD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0C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06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3A9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1A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36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371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r>
      <w:tr w14:paraId="1B364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DD080">
            <w:pPr>
              <w:jc w:val="center"/>
              <w:rPr>
                <w:rFonts w:hint="eastAsia" w:ascii="仿宋" w:hAnsi="仿宋" w:eastAsia="仿宋" w:cs="仿宋"/>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41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还本</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8CD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101A">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86FF">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66906">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CCBD">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02E2">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971B9">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BB73">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60782">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55FD3">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1C6C">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3F6C">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F8A2">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2A06A">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91B74">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CED9A">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1DDCF">
            <w:pPr>
              <w:jc w:val="center"/>
              <w:rPr>
                <w:rFonts w:hint="eastAsia" w:ascii="仿宋" w:hAnsi="仿宋" w:eastAsia="仿宋" w:cs="仿宋"/>
                <w:i w:val="0"/>
                <w:iCs w:val="0"/>
                <w:color w:val="auto"/>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BF08">
            <w:pPr>
              <w:jc w:val="center"/>
              <w:rPr>
                <w:rFonts w:hint="eastAsia" w:ascii="仿宋" w:hAnsi="仿宋" w:eastAsia="仿宋" w:cs="仿宋"/>
                <w:i w:val="0"/>
                <w:iCs w:val="0"/>
                <w:color w:val="auto"/>
                <w:sz w:val="16"/>
                <w:szCs w:val="16"/>
                <w:u w:val="none"/>
              </w:rPr>
            </w:pPr>
          </w:p>
        </w:tc>
      </w:tr>
      <w:tr w14:paraId="4515E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A82D">
            <w:pPr>
              <w:jc w:val="center"/>
              <w:rPr>
                <w:rFonts w:hint="eastAsia" w:ascii="仿宋" w:hAnsi="仿宋" w:eastAsia="仿宋" w:cs="仿宋"/>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DD1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付息</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D6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63,000.00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AA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D1A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1,428.00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6D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945C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02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57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47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2C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C9E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381B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436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558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F4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73B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9A4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0F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ECE2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r>
      <w:tr w14:paraId="15E59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632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E58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期末本金金额</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90082">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4AFE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D02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51,000.00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62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C2B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11E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B7E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ED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FBE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79E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0A8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A8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F2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AA5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C6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8B8B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99D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4D9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r>
      <w:tr w14:paraId="1CF02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1C96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二</w:t>
            </w:r>
          </w:p>
        </w:tc>
        <w:tc>
          <w:tcPr>
            <w:tcW w:w="575" w:type="pct"/>
            <w:tcBorders>
              <w:top w:val="single" w:color="000000" w:sz="4" w:space="0"/>
              <w:left w:val="single" w:color="000000" w:sz="4" w:space="0"/>
              <w:bottom w:val="single" w:color="000000" w:sz="4" w:space="0"/>
              <w:right w:val="nil"/>
            </w:tcBorders>
            <w:shd w:val="clear" w:color="auto" w:fill="auto"/>
            <w:noWrap/>
            <w:vAlign w:val="center"/>
          </w:tcPr>
          <w:p w14:paraId="7DB1FB9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还款资金来源及还款分析</w:t>
            </w:r>
          </w:p>
        </w:tc>
        <w:tc>
          <w:tcPr>
            <w:tcW w:w="263" w:type="pct"/>
            <w:tcBorders>
              <w:top w:val="single" w:color="000000" w:sz="4" w:space="0"/>
              <w:left w:val="nil"/>
              <w:bottom w:val="single" w:color="000000" w:sz="4" w:space="0"/>
              <w:right w:val="nil"/>
            </w:tcBorders>
            <w:shd w:val="clear" w:color="auto" w:fill="auto"/>
            <w:noWrap/>
            <w:vAlign w:val="center"/>
          </w:tcPr>
          <w:p w14:paraId="5A3D389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5F306BF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38D29FD7">
            <w:pPr>
              <w:jc w:val="center"/>
              <w:rPr>
                <w:rFonts w:hint="eastAsia" w:ascii="仿宋" w:hAnsi="仿宋" w:eastAsia="仿宋" w:cs="仿宋"/>
                <w:b w:val="0"/>
                <w:bCs w:val="0"/>
                <w:i w:val="0"/>
                <w:iCs w:val="0"/>
                <w:color w:val="auto"/>
                <w:sz w:val="16"/>
                <w:szCs w:val="16"/>
                <w:u w:val="none"/>
              </w:rPr>
            </w:pPr>
          </w:p>
        </w:tc>
        <w:tc>
          <w:tcPr>
            <w:tcW w:w="238" w:type="pct"/>
            <w:tcBorders>
              <w:top w:val="single" w:color="000000" w:sz="4" w:space="0"/>
              <w:left w:val="nil"/>
              <w:bottom w:val="single" w:color="000000" w:sz="4" w:space="0"/>
              <w:right w:val="nil"/>
            </w:tcBorders>
            <w:shd w:val="clear" w:color="auto" w:fill="auto"/>
            <w:noWrap/>
            <w:vAlign w:val="center"/>
          </w:tcPr>
          <w:p w14:paraId="6C44450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0FA537A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0299D66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4D0305A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0269EF7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7E0718C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3DE1714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5EC440F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7DD4D30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3F230DF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7715167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641CE1B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nil"/>
              <w:bottom w:val="single" w:color="000000" w:sz="4" w:space="0"/>
              <w:right w:val="nil"/>
            </w:tcBorders>
            <w:shd w:val="clear" w:color="auto" w:fill="auto"/>
            <w:noWrap/>
            <w:vAlign w:val="center"/>
          </w:tcPr>
          <w:p w14:paraId="6FDE2F90">
            <w:pPr>
              <w:jc w:val="center"/>
              <w:rPr>
                <w:rFonts w:hint="eastAsia" w:ascii="仿宋" w:hAnsi="仿宋" w:eastAsia="仿宋" w:cs="仿宋"/>
                <w:b w:val="0"/>
                <w:bCs w:val="0"/>
                <w:i w:val="0"/>
                <w:iCs w:val="0"/>
                <w:color w:val="auto"/>
                <w:sz w:val="16"/>
                <w:szCs w:val="16"/>
                <w:u w:val="none"/>
              </w:rPr>
            </w:pPr>
          </w:p>
        </w:tc>
        <w:tc>
          <w:tcPr>
            <w:tcW w:w="238" w:type="pct"/>
            <w:tcBorders>
              <w:top w:val="single" w:color="000000" w:sz="4" w:space="0"/>
              <w:left w:val="nil"/>
              <w:bottom w:val="single" w:color="000000" w:sz="4" w:space="0"/>
              <w:right w:val="nil"/>
            </w:tcBorders>
            <w:shd w:val="clear" w:color="auto" w:fill="auto"/>
            <w:noWrap/>
            <w:vAlign w:val="center"/>
          </w:tcPr>
          <w:p w14:paraId="6EF8CDF1">
            <w:pPr>
              <w:jc w:val="center"/>
              <w:rPr>
                <w:rFonts w:hint="eastAsia" w:ascii="仿宋" w:hAnsi="仿宋" w:eastAsia="仿宋" w:cs="仿宋"/>
                <w:b w:val="0"/>
                <w:bCs w:val="0"/>
                <w:i w:val="0"/>
                <w:iCs w:val="0"/>
                <w:color w:val="auto"/>
                <w:sz w:val="16"/>
                <w:szCs w:val="16"/>
                <w:u w:val="none"/>
              </w:rPr>
            </w:pPr>
          </w:p>
        </w:tc>
        <w:tc>
          <w:tcPr>
            <w:tcW w:w="241" w:type="pct"/>
            <w:tcBorders>
              <w:top w:val="single" w:color="000000" w:sz="4" w:space="0"/>
              <w:left w:val="nil"/>
              <w:bottom w:val="single" w:color="000000" w:sz="4" w:space="0"/>
              <w:right w:val="nil"/>
            </w:tcBorders>
            <w:shd w:val="clear" w:color="auto" w:fill="auto"/>
            <w:noWrap/>
            <w:vAlign w:val="center"/>
          </w:tcPr>
          <w:p w14:paraId="63A78561">
            <w:pPr>
              <w:jc w:val="center"/>
              <w:rPr>
                <w:rFonts w:hint="eastAsia" w:ascii="仿宋" w:hAnsi="仿宋" w:eastAsia="仿宋" w:cs="仿宋"/>
                <w:b w:val="0"/>
                <w:bCs w:val="0"/>
                <w:i w:val="0"/>
                <w:iCs w:val="0"/>
                <w:color w:val="auto"/>
                <w:sz w:val="16"/>
                <w:szCs w:val="16"/>
                <w:u w:val="none"/>
              </w:rPr>
            </w:pPr>
          </w:p>
        </w:tc>
      </w:tr>
      <w:tr w14:paraId="4F552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2F5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1C89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1251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149,247.65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64C6D">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375BA">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872D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CE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768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633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9ED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3,186.73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7BD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3,183.25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4E8E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4,339.78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7D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4,375.84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680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4,375.84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7F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4,372.12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314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4,410.35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4F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5,588.09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3D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5,588.09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37D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5,636.27</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47B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5,636.27</w:t>
            </w:r>
          </w:p>
        </w:tc>
      </w:tr>
      <w:tr w14:paraId="39DFF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D21F">
            <w:pPr>
              <w:jc w:val="center"/>
              <w:rPr>
                <w:rFonts w:hint="eastAsia" w:ascii="仿宋" w:hAnsi="仿宋" w:eastAsia="仿宋" w:cs="仿宋"/>
                <w:b w:val="0"/>
                <w:bCs w:val="0"/>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DFD6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当年净利润</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E2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9,879.72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AA5D">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012A">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BD43D">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B7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-1,716.74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5C6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-1,716.74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1A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-1,716.74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B39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-1,692.44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22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-1,695.92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68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-539.39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0B8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-503.33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6E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-503.33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5E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-507.05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11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-468.82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A0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708.92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4C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708.92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CD78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757.10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44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757.10</w:t>
            </w:r>
          </w:p>
        </w:tc>
      </w:tr>
      <w:tr w14:paraId="2D56A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0312">
            <w:pPr>
              <w:jc w:val="center"/>
              <w:rPr>
                <w:rFonts w:hint="eastAsia" w:ascii="仿宋" w:hAnsi="仿宋" w:eastAsia="仿宋" w:cs="仿宋"/>
                <w:b w:val="0"/>
                <w:bCs w:val="0"/>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5A2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债券财务费用</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5D8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58,772.00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793E8">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CD25">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BAF9">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DEE4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A1E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AF1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A26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AB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D964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6B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CB2F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8E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B32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AF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1C2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2E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E3A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r>
      <w:tr w14:paraId="40CD6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8D75">
            <w:pPr>
              <w:jc w:val="center"/>
              <w:rPr>
                <w:rFonts w:hint="eastAsia" w:ascii="仿宋" w:hAnsi="仿宋" w:eastAsia="仿宋" w:cs="仿宋"/>
                <w:b w:val="0"/>
                <w:bCs w:val="0"/>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282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折旧及摊销</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AC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80,595.93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6F53">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2C11">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3DE8">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51B7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FC9D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94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115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17C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FC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A2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ACA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C1B1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188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B3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A9D1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02A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5F7F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r>
      <w:tr w14:paraId="6EC52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153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8F71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本息偿还分析</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8115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9E4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A7629">
            <w:pPr>
              <w:jc w:val="center"/>
              <w:rPr>
                <w:rFonts w:hint="eastAsia" w:ascii="仿宋" w:hAnsi="仿宋" w:eastAsia="仿宋" w:cs="仿宋"/>
                <w:b w:val="0"/>
                <w:bCs w:val="0"/>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039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D5F1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81A2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B88B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A80F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D5C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BA90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B5D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EF8C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82DD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9C35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00F6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82F05">
            <w:pPr>
              <w:jc w:val="center"/>
              <w:rPr>
                <w:rFonts w:hint="eastAsia" w:ascii="仿宋" w:hAnsi="仿宋" w:eastAsia="仿宋" w:cs="仿宋"/>
                <w:b w:val="0"/>
                <w:bCs w:val="0"/>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D2EFB">
            <w:pPr>
              <w:jc w:val="center"/>
              <w:rPr>
                <w:rFonts w:hint="eastAsia" w:ascii="仿宋" w:hAnsi="仿宋" w:eastAsia="仿宋" w:cs="仿宋"/>
                <w:b w:val="0"/>
                <w:bCs w:val="0"/>
                <w:i w:val="0"/>
                <w:iCs w:val="0"/>
                <w:color w:val="auto"/>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1AD4E">
            <w:pPr>
              <w:jc w:val="center"/>
              <w:rPr>
                <w:rFonts w:hint="eastAsia" w:ascii="仿宋" w:hAnsi="仿宋" w:eastAsia="仿宋" w:cs="仿宋"/>
                <w:b w:val="0"/>
                <w:bCs w:val="0"/>
                <w:i w:val="0"/>
                <w:iCs w:val="0"/>
                <w:color w:val="auto"/>
                <w:sz w:val="16"/>
                <w:szCs w:val="16"/>
                <w:u w:val="none"/>
              </w:rPr>
            </w:pPr>
          </w:p>
        </w:tc>
      </w:tr>
      <w:tr w14:paraId="57A4D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49936">
            <w:pPr>
              <w:jc w:val="center"/>
              <w:rPr>
                <w:rFonts w:hint="eastAsia" w:ascii="仿宋" w:hAnsi="仿宋" w:eastAsia="仿宋" w:cs="仿宋"/>
                <w:i w:val="0"/>
                <w:iCs w:val="0"/>
                <w:color w:val="auto"/>
                <w:sz w:val="16"/>
                <w:szCs w:val="16"/>
                <w:u w:val="none"/>
              </w:rPr>
            </w:pP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03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本息覆盖倍数</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E9A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D3356">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3BC13">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90532">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E9EC">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A44C">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13DF">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612A">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A1E4">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35FD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77AFD">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0680B">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CBD7">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539F">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8460">
            <w:pPr>
              <w:jc w:val="center"/>
              <w:rPr>
                <w:rFonts w:hint="eastAsia" w:ascii="仿宋" w:hAnsi="仿宋" w:eastAsia="仿宋" w:cs="仿宋"/>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BFEA">
            <w:pPr>
              <w:jc w:val="center"/>
              <w:rPr>
                <w:rFonts w:hint="eastAsia" w:ascii="仿宋" w:hAnsi="仿宋" w:eastAsia="仿宋" w:cs="仿宋"/>
                <w:i w:val="0"/>
                <w:iCs w:val="0"/>
                <w:color w:val="auto"/>
                <w:sz w:val="16"/>
                <w:szCs w:val="16"/>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593D">
            <w:pPr>
              <w:jc w:val="center"/>
              <w:rPr>
                <w:rFonts w:hint="eastAsia" w:ascii="仿宋" w:hAnsi="仿宋" w:eastAsia="仿宋" w:cs="仿宋"/>
                <w:i w:val="0"/>
                <w:iCs w:val="0"/>
                <w:color w:val="auto"/>
                <w:sz w:val="16"/>
                <w:szCs w:val="16"/>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0110A">
            <w:pPr>
              <w:jc w:val="center"/>
              <w:rPr>
                <w:rFonts w:hint="eastAsia" w:ascii="仿宋" w:hAnsi="仿宋" w:eastAsia="仿宋" w:cs="仿宋"/>
                <w:i w:val="0"/>
                <w:iCs w:val="0"/>
                <w:color w:val="auto"/>
                <w:sz w:val="16"/>
                <w:szCs w:val="16"/>
                <w:u w:val="none"/>
              </w:rPr>
            </w:pPr>
          </w:p>
        </w:tc>
      </w:tr>
    </w:tbl>
    <w:p w14:paraId="4E71F510">
      <w:pPr>
        <w:ind w:firstLine="0" w:firstLineChars="0"/>
        <w:rPr>
          <w:rFonts w:hint="eastAsia"/>
          <w:color w:val="auto"/>
          <w:lang w:val="en-US" w:eastAsia="zh-CN"/>
        </w:rPr>
      </w:pPr>
      <w:r>
        <w:rPr>
          <w:rFonts w:hint="eastAsia"/>
          <w:color w:val="auto"/>
          <w:lang w:val="en-US" w:eastAsia="zh-CN"/>
        </w:rPr>
        <w:t>续表：</w:t>
      </w:r>
    </w:p>
    <w:tbl>
      <w:tblPr>
        <w:tblStyle w:val="1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87"/>
        <w:gridCol w:w="2087"/>
        <w:gridCol w:w="860"/>
        <w:gridCol w:w="860"/>
        <w:gridCol w:w="860"/>
        <w:gridCol w:w="860"/>
        <w:gridCol w:w="860"/>
        <w:gridCol w:w="860"/>
        <w:gridCol w:w="860"/>
        <w:gridCol w:w="860"/>
        <w:gridCol w:w="860"/>
        <w:gridCol w:w="860"/>
        <w:gridCol w:w="860"/>
        <w:gridCol w:w="860"/>
        <w:gridCol w:w="860"/>
        <w:gridCol w:w="860"/>
        <w:gridCol w:w="891"/>
      </w:tblGrid>
      <w:tr w14:paraId="5F9EC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jc w:val="center"/>
        </w:trPr>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FC12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序号</w:t>
            </w:r>
          </w:p>
        </w:tc>
        <w:tc>
          <w:tcPr>
            <w:tcW w:w="677" w:type="pct"/>
            <w:vMerge w:val="restart"/>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64F2E9B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项目      年份</w:t>
            </w:r>
          </w:p>
        </w:tc>
        <w:tc>
          <w:tcPr>
            <w:tcW w:w="4195" w:type="pct"/>
            <w:gridSpan w:val="15"/>
            <w:tcBorders>
              <w:top w:val="single" w:color="000000" w:sz="4" w:space="0"/>
              <w:left w:val="nil"/>
              <w:bottom w:val="single" w:color="000000" w:sz="4" w:space="0"/>
              <w:right w:val="single" w:color="000000" w:sz="4" w:space="0"/>
            </w:tcBorders>
            <w:shd w:val="clear" w:color="auto" w:fill="auto"/>
            <w:vAlign w:val="center"/>
          </w:tcPr>
          <w:p w14:paraId="36649171">
            <w:pPr>
              <w:jc w:val="center"/>
              <w:rPr>
                <w:rFonts w:hint="eastAsia" w:ascii="仿宋" w:hAnsi="仿宋" w:eastAsia="仿宋" w:cs="仿宋"/>
                <w:b w:val="0"/>
                <w:bCs w:val="0"/>
                <w:i w:val="0"/>
                <w:iCs w:val="0"/>
                <w:color w:val="auto"/>
                <w:sz w:val="16"/>
                <w:szCs w:val="16"/>
                <w:u w:val="none"/>
              </w:rPr>
            </w:pPr>
          </w:p>
        </w:tc>
      </w:tr>
      <w:tr w14:paraId="5ACD4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AB71">
            <w:pPr>
              <w:jc w:val="center"/>
              <w:rPr>
                <w:rFonts w:hint="eastAsia" w:ascii="仿宋" w:hAnsi="仿宋" w:eastAsia="仿宋" w:cs="仿宋"/>
                <w:b w:val="0"/>
                <w:bCs w:val="0"/>
                <w:i w:val="0"/>
                <w:iCs w:val="0"/>
                <w:color w:val="auto"/>
                <w:sz w:val="16"/>
                <w:szCs w:val="16"/>
                <w:u w:val="none"/>
              </w:rPr>
            </w:pPr>
          </w:p>
        </w:tc>
        <w:tc>
          <w:tcPr>
            <w:tcW w:w="677" w:type="pct"/>
            <w:vMerge w:val="continue"/>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4DFD7C4E">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6A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7CB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67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0F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7A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34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C64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F0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86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61C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C8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B67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0D8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C6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28</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8F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29</w:t>
            </w:r>
          </w:p>
        </w:tc>
      </w:tr>
      <w:tr w14:paraId="16D51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A82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一</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98B2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发行债券（利率）</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4E8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B55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41F9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EB91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CAD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D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93E3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8E8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A993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DE1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566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252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C73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D4C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1207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2.80%</w:t>
            </w:r>
          </w:p>
        </w:tc>
      </w:tr>
      <w:tr w14:paraId="77E13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CD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9588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期初本金金额</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29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C7C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8A30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10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9C4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429E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0A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32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AD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C5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104F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C41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38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EA9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EBF3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24,000.00</w:t>
            </w:r>
          </w:p>
        </w:tc>
      </w:tr>
      <w:tr w14:paraId="7F429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D830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BE6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本年新增本金</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A02D0">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BED9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EFC12">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B5307">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881B9">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50B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AF3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DA5C4">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4EE09">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C60E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829D0">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15A00">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FECCE">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4618">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7A03">
            <w:pPr>
              <w:jc w:val="center"/>
              <w:rPr>
                <w:rFonts w:hint="eastAsia" w:ascii="仿宋" w:hAnsi="仿宋" w:eastAsia="仿宋" w:cs="仿宋"/>
                <w:i w:val="0"/>
                <w:iCs w:val="0"/>
                <w:color w:val="auto"/>
                <w:sz w:val="16"/>
                <w:szCs w:val="16"/>
                <w:u w:val="none"/>
              </w:rPr>
            </w:pPr>
          </w:p>
        </w:tc>
      </w:tr>
      <w:tr w14:paraId="0FCBE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73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7B4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本年应计利息</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E49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B8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24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DA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186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292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1B7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159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8E1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9CCF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35A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C8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6D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19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996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672.00</w:t>
            </w:r>
          </w:p>
        </w:tc>
      </w:tr>
      <w:tr w14:paraId="698C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E3654">
            <w:pPr>
              <w:jc w:val="center"/>
              <w:rPr>
                <w:rFonts w:hint="eastAsia" w:ascii="仿宋" w:hAnsi="仿宋" w:eastAsia="仿宋" w:cs="仿宋"/>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CFE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其中：计入建设期利息</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61B54">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8C55">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DB46">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EA32C">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F8CD7">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668A">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6551">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D24D1">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AE21">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4D56B">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D0716">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1572">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0F89F">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D6C87">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CF1D0">
            <w:pPr>
              <w:jc w:val="center"/>
              <w:rPr>
                <w:rFonts w:hint="eastAsia" w:ascii="仿宋" w:hAnsi="仿宋" w:eastAsia="仿宋" w:cs="仿宋"/>
                <w:i w:val="0"/>
                <w:iCs w:val="0"/>
                <w:color w:val="auto"/>
                <w:sz w:val="16"/>
                <w:szCs w:val="16"/>
                <w:u w:val="none"/>
              </w:rPr>
            </w:pPr>
          </w:p>
        </w:tc>
      </w:tr>
      <w:tr w14:paraId="150AF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0196">
            <w:pPr>
              <w:jc w:val="center"/>
              <w:rPr>
                <w:rFonts w:hint="eastAsia" w:ascii="仿宋" w:hAnsi="仿宋" w:eastAsia="仿宋" w:cs="仿宋"/>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6EB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计入还款期利息</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A4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07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4A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B9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E8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1C1D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980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8E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A5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0F8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73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3D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AA0C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8E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B8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672.00</w:t>
            </w:r>
          </w:p>
        </w:tc>
      </w:tr>
      <w:tr w14:paraId="0A562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875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EF7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本年还本付息</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9E6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80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8F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64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999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5335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2E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0C2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1B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A9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137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761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F0D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B0B7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27,400.00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03CB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24,672.00</w:t>
            </w:r>
          </w:p>
        </w:tc>
      </w:tr>
      <w:tr w14:paraId="0DB13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B6C22">
            <w:pPr>
              <w:jc w:val="center"/>
              <w:rPr>
                <w:rFonts w:hint="eastAsia" w:ascii="仿宋" w:hAnsi="仿宋" w:eastAsia="仿宋" w:cs="仿宋"/>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8E5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还本</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0CF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2E65">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03F7E">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8DF7C">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99E7">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768A5">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4B00">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9AAAF">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4834B">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2A06">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078B">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10071">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63D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D18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51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24,000.00</w:t>
            </w:r>
          </w:p>
        </w:tc>
      </w:tr>
      <w:tr w14:paraId="211A4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6A61F">
            <w:pPr>
              <w:jc w:val="center"/>
              <w:rPr>
                <w:rFonts w:hint="eastAsia" w:ascii="仿宋" w:hAnsi="仿宋" w:eastAsia="仿宋" w:cs="仿宋"/>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92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付息</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22E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93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61F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FB1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66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6AC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E66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602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3A1D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B02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D35C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A0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E780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39A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9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672.00</w:t>
            </w:r>
          </w:p>
        </w:tc>
      </w:tr>
      <w:tr w14:paraId="10138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976F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348F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期末本金金额</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C4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F50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EC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7C1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97C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C19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A0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ADC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57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38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5D6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ED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04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A6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38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w:t>
            </w:r>
          </w:p>
        </w:tc>
      </w:tr>
      <w:tr w14:paraId="5017E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4A47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二</w:t>
            </w:r>
          </w:p>
        </w:tc>
        <w:tc>
          <w:tcPr>
            <w:tcW w:w="677" w:type="pct"/>
            <w:tcBorders>
              <w:top w:val="single" w:color="000000" w:sz="4" w:space="0"/>
              <w:left w:val="single" w:color="000000" w:sz="4" w:space="0"/>
              <w:bottom w:val="single" w:color="000000" w:sz="4" w:space="0"/>
              <w:right w:val="nil"/>
            </w:tcBorders>
            <w:shd w:val="clear" w:color="auto" w:fill="auto"/>
            <w:noWrap/>
            <w:vAlign w:val="center"/>
          </w:tcPr>
          <w:p w14:paraId="2A0FFB8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还款资金来源及还款分析</w:t>
            </w:r>
          </w:p>
        </w:tc>
        <w:tc>
          <w:tcPr>
            <w:tcW w:w="279" w:type="pct"/>
            <w:tcBorders>
              <w:top w:val="single" w:color="000000" w:sz="4" w:space="0"/>
              <w:left w:val="nil"/>
              <w:bottom w:val="single" w:color="000000" w:sz="4" w:space="0"/>
              <w:right w:val="nil"/>
            </w:tcBorders>
            <w:shd w:val="clear" w:color="auto" w:fill="auto"/>
            <w:noWrap/>
            <w:vAlign w:val="center"/>
          </w:tcPr>
          <w:p w14:paraId="667E955B">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6CC32D9B">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67E710FC">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1346E559">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5957FADD">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02F9DC28">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56AD3070">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56CBC5D6">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18679DA4">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05BB4EEC">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18EA2883">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5615D8B0">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7FAE84AD">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nil"/>
            </w:tcBorders>
            <w:shd w:val="clear" w:color="auto" w:fill="auto"/>
            <w:noWrap/>
            <w:vAlign w:val="center"/>
          </w:tcPr>
          <w:p w14:paraId="5A59CA22">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nil"/>
              <w:bottom w:val="single" w:color="000000" w:sz="4" w:space="0"/>
              <w:right w:val="single" w:color="000000" w:sz="4" w:space="0"/>
            </w:tcBorders>
            <w:shd w:val="clear" w:color="auto" w:fill="auto"/>
            <w:noWrap/>
            <w:vAlign w:val="center"/>
          </w:tcPr>
          <w:p w14:paraId="0F379C70">
            <w:pPr>
              <w:jc w:val="center"/>
              <w:rPr>
                <w:rFonts w:hint="eastAsia" w:ascii="仿宋" w:hAnsi="仿宋" w:eastAsia="仿宋" w:cs="仿宋"/>
                <w:b w:val="0"/>
                <w:bCs w:val="0"/>
                <w:i w:val="0"/>
                <w:iCs w:val="0"/>
                <w:color w:val="auto"/>
                <w:sz w:val="16"/>
                <w:szCs w:val="16"/>
                <w:u w:val="none"/>
              </w:rPr>
            </w:pPr>
          </w:p>
        </w:tc>
      </w:tr>
      <w:tr w14:paraId="09D80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2008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D8C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还款资金来源</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5AD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5,636.27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5B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5,908.27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52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5,904.11</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9A53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5,904.11</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CA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5,975.66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AEAB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5,975.66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F2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6,201.06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C1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6,132.19</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C327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5,937.81</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F2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5,937.81</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62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6,005.57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A5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6,199.22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7E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6,150.15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3DF4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5,692.79</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33F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5,507.05</w:t>
            </w:r>
          </w:p>
        </w:tc>
      </w:tr>
      <w:tr w14:paraId="6CB75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AD7D">
            <w:pPr>
              <w:jc w:val="center"/>
              <w:rPr>
                <w:rFonts w:hint="eastAsia" w:ascii="仿宋" w:hAnsi="仿宋" w:eastAsia="仿宋" w:cs="仿宋"/>
                <w:b w:val="0"/>
                <w:bCs w:val="0"/>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580F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当年净利润</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925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757.10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067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1,029.10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D08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1,024.94</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DD0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1,024.94</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A22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1,096.49</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2B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1,096.49</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6EF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1,321.89</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EFB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1,253.02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38DA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1,058.64</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898B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1,058.64</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66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1,126.40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7B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1,320.05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231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1,270.98</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D5D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1,513.62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715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2,055.88</w:t>
            </w:r>
          </w:p>
        </w:tc>
      </w:tr>
      <w:tr w14:paraId="5FB9E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7D250">
            <w:pPr>
              <w:jc w:val="center"/>
              <w:rPr>
                <w:rFonts w:hint="eastAsia" w:ascii="仿宋" w:hAnsi="仿宋" w:eastAsia="仿宋" w:cs="仿宋"/>
                <w:b w:val="0"/>
                <w:bCs w:val="0"/>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DCA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债券财务费用</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44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4D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19C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A2A6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6094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867D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3E3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32F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AD8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F0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9FB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0B1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89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D9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1,400.00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FA9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672.00</w:t>
            </w:r>
          </w:p>
        </w:tc>
      </w:tr>
      <w:tr w14:paraId="5394F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DD581">
            <w:pPr>
              <w:jc w:val="center"/>
              <w:rPr>
                <w:rFonts w:hint="eastAsia" w:ascii="仿宋" w:hAnsi="仿宋" w:eastAsia="仿宋" w:cs="仿宋"/>
                <w:b w:val="0"/>
                <w:bCs w:val="0"/>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F415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折旧及摊销</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7EB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42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55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D5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D6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A3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F49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E96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14C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2E6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A37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8F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C7C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EA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D0DB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2,779.17</w:t>
            </w:r>
          </w:p>
        </w:tc>
      </w:tr>
      <w:tr w14:paraId="1F538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34F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6718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本息偿还分析</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29016">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919EE">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CD606">
            <w:pPr>
              <w:jc w:val="center"/>
              <w:rPr>
                <w:rFonts w:hint="eastAsia" w:ascii="仿宋" w:hAnsi="仿宋" w:eastAsia="仿宋" w:cs="仿宋"/>
                <w:b w:val="0"/>
                <w:bCs w:val="0"/>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787FE">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63494">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A5E45">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958F">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55923">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1C8F">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15E61">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65DCB">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FB536">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F0610">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D8A8">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57DD0">
            <w:pPr>
              <w:jc w:val="center"/>
              <w:rPr>
                <w:rFonts w:hint="eastAsia" w:ascii="仿宋" w:hAnsi="仿宋" w:eastAsia="仿宋" w:cs="仿宋"/>
                <w:i w:val="0"/>
                <w:iCs w:val="0"/>
                <w:color w:val="auto"/>
                <w:sz w:val="16"/>
                <w:szCs w:val="16"/>
                <w:u w:val="none"/>
              </w:rPr>
            </w:pPr>
          </w:p>
        </w:tc>
      </w:tr>
      <w:tr w14:paraId="653E9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1A0CD">
            <w:pPr>
              <w:jc w:val="center"/>
              <w:rPr>
                <w:rFonts w:hint="eastAsia" w:ascii="仿宋" w:hAnsi="仿宋" w:eastAsia="仿宋" w:cs="仿宋"/>
                <w:i w:val="0"/>
                <w:iCs w:val="0"/>
                <w:color w:val="auto"/>
                <w:sz w:val="16"/>
                <w:szCs w:val="16"/>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AD6A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本息覆盖倍数</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74212">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8B86">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1330">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A16E7">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FD7A">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FF98">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443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8A38E">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AEAD">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0B0BC">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6B26">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675BB">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A58EB">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A39C7">
            <w:pPr>
              <w:jc w:val="center"/>
              <w:rPr>
                <w:rFonts w:hint="eastAsia" w:ascii="仿宋" w:hAnsi="仿宋" w:eastAsia="仿宋" w:cs="仿宋"/>
                <w:i w:val="0"/>
                <w:iCs w:val="0"/>
                <w:color w:val="auto"/>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284F">
            <w:pPr>
              <w:jc w:val="center"/>
              <w:rPr>
                <w:rFonts w:hint="eastAsia" w:ascii="仿宋" w:hAnsi="仿宋" w:eastAsia="仿宋" w:cs="仿宋"/>
                <w:i w:val="0"/>
                <w:iCs w:val="0"/>
                <w:color w:val="auto"/>
                <w:sz w:val="16"/>
                <w:szCs w:val="16"/>
                <w:u w:val="none"/>
              </w:rPr>
            </w:pPr>
          </w:p>
        </w:tc>
      </w:tr>
    </w:tbl>
    <w:p w14:paraId="2C17DECA">
      <w:pPr>
        <w:ind w:firstLine="0" w:firstLineChars="0"/>
        <w:rPr>
          <w:color w:val="auto"/>
        </w:rPr>
      </w:pPr>
      <w:r>
        <w:rPr>
          <w:rFonts w:hint="eastAsia"/>
          <w:color w:val="auto"/>
        </w:rPr>
        <w:br w:type="page"/>
      </w:r>
    </w:p>
    <w:p w14:paraId="7286F271">
      <w:pPr>
        <w:pStyle w:val="29"/>
        <w:rPr>
          <w:color w:val="auto"/>
        </w:rPr>
      </w:pPr>
      <w:r>
        <w:rPr>
          <w:rFonts w:hint="eastAsia"/>
          <w:color w:val="auto"/>
          <w:lang w:val="en-US" w:eastAsia="zh-Hans"/>
        </w:rPr>
        <w:t>项目资金测算平衡表</w:t>
      </w:r>
      <w:r>
        <w:rPr>
          <w:rFonts w:hint="eastAsia"/>
          <w:color w:val="auto"/>
        </w:rPr>
        <w:t>（金额单位：人民币万元）</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10"/>
        <w:gridCol w:w="2095"/>
        <w:gridCol w:w="810"/>
        <w:gridCol w:w="810"/>
        <w:gridCol w:w="810"/>
        <w:gridCol w:w="730"/>
        <w:gridCol w:w="958"/>
        <w:gridCol w:w="730"/>
        <w:gridCol w:w="730"/>
        <w:gridCol w:w="730"/>
        <w:gridCol w:w="730"/>
        <w:gridCol w:w="730"/>
        <w:gridCol w:w="730"/>
        <w:gridCol w:w="730"/>
        <w:gridCol w:w="730"/>
        <w:gridCol w:w="731"/>
        <w:gridCol w:w="731"/>
        <w:gridCol w:w="731"/>
        <w:gridCol w:w="747"/>
      </w:tblGrid>
      <w:tr w14:paraId="1D774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jc w:val="center"/>
        </w:trPr>
        <w:tc>
          <w:tcPr>
            <w:tcW w:w="1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090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序号</w:t>
            </w:r>
          </w:p>
        </w:tc>
        <w:tc>
          <w:tcPr>
            <w:tcW w:w="6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F055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项目</w:t>
            </w:r>
          </w:p>
        </w:tc>
        <w:tc>
          <w:tcPr>
            <w:tcW w:w="789" w:type="pct"/>
            <w:gridSpan w:val="3"/>
            <w:tcBorders>
              <w:top w:val="single" w:color="000000" w:sz="4" w:space="0"/>
              <w:left w:val="single" w:color="000000" w:sz="4" w:space="0"/>
              <w:bottom w:val="single" w:color="000000" w:sz="4" w:space="0"/>
              <w:right w:val="nil"/>
            </w:tcBorders>
            <w:shd w:val="clear" w:color="auto" w:fill="auto"/>
            <w:noWrap/>
            <w:vAlign w:val="center"/>
          </w:tcPr>
          <w:p w14:paraId="1E4355A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建设期</w:t>
            </w:r>
          </w:p>
        </w:tc>
        <w:tc>
          <w:tcPr>
            <w:tcW w:w="3397" w:type="pct"/>
            <w:gridSpan w:val="14"/>
            <w:tcBorders>
              <w:top w:val="single" w:color="000000" w:sz="4" w:space="0"/>
              <w:left w:val="nil"/>
              <w:bottom w:val="single" w:color="000000" w:sz="4" w:space="0"/>
              <w:right w:val="nil"/>
            </w:tcBorders>
            <w:shd w:val="clear" w:color="auto" w:fill="auto"/>
            <w:noWrap/>
            <w:vAlign w:val="center"/>
          </w:tcPr>
          <w:p w14:paraId="068E38D5">
            <w:pPr>
              <w:jc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运营期（年）</w:t>
            </w:r>
          </w:p>
        </w:tc>
      </w:tr>
      <w:tr w14:paraId="79FF0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7759">
            <w:pPr>
              <w:jc w:val="center"/>
              <w:rPr>
                <w:rFonts w:hint="eastAsia" w:ascii="仿宋" w:hAnsi="仿宋" w:eastAsia="仿宋" w:cs="仿宋"/>
                <w:b w:val="0"/>
                <w:bCs w:val="0"/>
                <w:i w:val="0"/>
                <w:iCs w:val="0"/>
                <w:color w:val="auto"/>
                <w:sz w:val="16"/>
                <w:szCs w:val="16"/>
                <w:u w:val="none"/>
              </w:rPr>
            </w:pPr>
          </w:p>
        </w:tc>
        <w:tc>
          <w:tcPr>
            <w:tcW w:w="6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A6457">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D2B1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7399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1BC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D29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B87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DD0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242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B120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6FD8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E7D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759D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A392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19E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9B40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2778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A04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C9B8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14</w:t>
            </w:r>
          </w:p>
        </w:tc>
      </w:tr>
      <w:tr w14:paraId="2353E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500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0640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经营活动净现金流量（</w:t>
            </w:r>
            <w:r>
              <w:rPr>
                <w:rStyle w:val="36"/>
                <w:rFonts w:hint="eastAsia" w:ascii="仿宋" w:hAnsi="仿宋" w:eastAsia="仿宋" w:cs="仿宋"/>
                <w:b w:val="0"/>
                <w:bCs w:val="0"/>
                <w:color w:val="auto"/>
                <w:sz w:val="16"/>
                <w:szCs w:val="16"/>
                <w:lang w:val="en-US" w:eastAsia="zh-CN" w:bidi="ar"/>
              </w:rPr>
              <w:t>1.1-1.2</w:t>
            </w:r>
            <w:r>
              <w:rPr>
                <w:rStyle w:val="35"/>
                <w:rFonts w:ascii="仿宋" w:hAnsi="仿宋" w:eastAsia="仿宋" w:cs="仿宋"/>
                <w:b w:val="0"/>
                <w:bCs w:val="0"/>
                <w:color w:val="auto"/>
                <w:sz w:val="16"/>
                <w:szCs w:val="16"/>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30C7">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9AA4D">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2C6C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ABA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3,162.43</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ECA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D072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B05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3,186.73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71A1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3,183.25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109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4,339.78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0C8D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4,375.84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68A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4,375.84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3E8F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4,372.12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A002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4,410.35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2B7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5,588.09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2590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5,588.09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D56D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5,636.27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48C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5,636.27</w:t>
            </w:r>
          </w:p>
        </w:tc>
      </w:tr>
      <w:tr w14:paraId="5ADDE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08E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BC84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现金流入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39C">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716A">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B74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200D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3,732.66</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24A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3,732.66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E3F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3,732.66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E149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3,759.66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DD91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3,759.66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858A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5,044.69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16C3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5,084.76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2F1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5,084.76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6ED6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5,084.76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220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5,127.23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971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6,435.83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77C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6,435.83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F59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6,493.72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AEA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6,493.72</w:t>
            </w:r>
          </w:p>
        </w:tc>
      </w:tr>
      <w:tr w14:paraId="6CA45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719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1.1.1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07B3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营业收入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82B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05332">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8A7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4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3,732.66</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31E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3,732.66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5FB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3,732.66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9592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3,759.66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52C9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3,759.66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0EE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5,044.69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5139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5,084.76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F937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5,084.76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B71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5,084.76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E2B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5,127.23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6E3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6,435.83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7E78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6,435.83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6CF0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6,493.72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45A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6,493.72</w:t>
            </w:r>
          </w:p>
        </w:tc>
      </w:tr>
      <w:tr w14:paraId="48536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93B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1.1.2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1962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其他流入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9B04">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1222A">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CD4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396D8">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C7D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BAE7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851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BD4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2EEA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2973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B8C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56C0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97B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308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205D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9FC4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C948">
            <w:pPr>
              <w:jc w:val="center"/>
              <w:rPr>
                <w:rFonts w:hint="eastAsia" w:ascii="仿宋" w:hAnsi="仿宋" w:eastAsia="仿宋" w:cs="仿宋"/>
                <w:b w:val="0"/>
                <w:bCs w:val="0"/>
                <w:i w:val="0"/>
                <w:iCs w:val="0"/>
                <w:color w:val="auto"/>
                <w:sz w:val="16"/>
                <w:szCs w:val="16"/>
                <w:u w:val="none"/>
              </w:rPr>
            </w:pPr>
          </w:p>
        </w:tc>
      </w:tr>
      <w:tr w14:paraId="04308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D66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1211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现金流出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28EC1">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3A3D">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070A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E8C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570.23</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DEA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570.23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3F64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570.23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7307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572.93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E7C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576.41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167D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704.91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CEB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708.92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C1F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708.92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A0D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712.64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3077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716.88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5CB7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847.74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67BB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847.74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B82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857.45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EAE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857.45</w:t>
            </w:r>
          </w:p>
        </w:tc>
      </w:tr>
      <w:tr w14:paraId="25E70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172A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D13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7"/>
                <w:rFonts w:ascii="仿宋" w:hAnsi="仿宋" w:eastAsia="仿宋" w:cs="仿宋"/>
                <w:b w:val="0"/>
                <w:bCs w:val="0"/>
                <w:color w:val="auto"/>
                <w:sz w:val="16"/>
                <w:szCs w:val="16"/>
                <w:lang w:val="en-US" w:eastAsia="zh-CN" w:bidi="ar"/>
              </w:rPr>
              <w:t>经营成本</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CE5B7">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67F64">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43C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5BD4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570.23</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39D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570.23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6D8E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570.23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16D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572.93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1A6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576.41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BAB9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704.91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D213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708.92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865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708.92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CB2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712.64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E9B0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716.88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26FC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847.74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B6D3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847.74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BD7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857.45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42EC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857.45</w:t>
            </w:r>
          </w:p>
        </w:tc>
      </w:tr>
      <w:tr w14:paraId="31B3A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015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D2D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7"/>
                <w:rFonts w:ascii="仿宋" w:hAnsi="仿宋" w:eastAsia="仿宋" w:cs="仿宋"/>
                <w:b w:val="0"/>
                <w:bCs w:val="0"/>
                <w:color w:val="auto"/>
                <w:sz w:val="16"/>
                <w:szCs w:val="16"/>
                <w:lang w:val="en-US" w:eastAsia="zh-CN" w:bidi="ar"/>
              </w:rPr>
              <w:t>税金及附加</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9F21">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B4DD">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E00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1CF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19F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1A7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83FC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B50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FF08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AD84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DDBF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EC3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F219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590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BF9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3F52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B2E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r>
      <w:tr w14:paraId="3516A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C24D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1.2.3</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9392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7"/>
                <w:rFonts w:ascii="仿宋" w:hAnsi="仿宋" w:eastAsia="仿宋" w:cs="仿宋"/>
                <w:b w:val="0"/>
                <w:bCs w:val="0"/>
                <w:color w:val="auto"/>
                <w:sz w:val="16"/>
                <w:szCs w:val="16"/>
                <w:lang w:val="en-US" w:eastAsia="zh-CN" w:bidi="ar"/>
              </w:rPr>
              <w:t>所得税</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8A1A">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977EF">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001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6E2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89E5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E458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60D7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E5FA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DF0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BD83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184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DF72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B7A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24E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02D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52EE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A9B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r>
      <w:tr w14:paraId="48834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359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899B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投资活动净现金流量</w:t>
            </w:r>
            <w:r>
              <w:rPr>
                <w:rStyle w:val="36"/>
                <w:rFonts w:hint="eastAsia" w:ascii="仿宋" w:hAnsi="仿宋" w:eastAsia="仿宋" w:cs="仿宋"/>
                <w:b w:val="0"/>
                <w:bCs w:val="0"/>
                <w:color w:val="auto"/>
                <w:sz w:val="16"/>
                <w:szCs w:val="16"/>
                <w:lang w:val="en-US" w:eastAsia="zh-CN" w:bidi="ar"/>
              </w:rPr>
              <w:t>(2.1-2.2)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B7F3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-33,527.62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EC6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-34,487.62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F312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-30,475.82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94207">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4CB4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79AD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2FE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58E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0273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CC93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4897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D176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42A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76D5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6C6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CA4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35BF">
            <w:pPr>
              <w:jc w:val="center"/>
              <w:rPr>
                <w:rFonts w:hint="eastAsia" w:ascii="仿宋" w:hAnsi="仿宋" w:eastAsia="仿宋" w:cs="仿宋"/>
                <w:b w:val="0"/>
                <w:bCs w:val="0"/>
                <w:i w:val="0"/>
                <w:iCs w:val="0"/>
                <w:color w:val="auto"/>
                <w:sz w:val="16"/>
                <w:szCs w:val="16"/>
                <w:u w:val="none"/>
              </w:rPr>
            </w:pPr>
          </w:p>
        </w:tc>
      </w:tr>
      <w:tr w14:paraId="11026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63EF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8FDF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现金流入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49098">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F4FF">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393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28B56">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07AF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FEBA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45D8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9BAE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3928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7C54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DBF7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118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56E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CE7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DA56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4ADB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F854">
            <w:pPr>
              <w:jc w:val="center"/>
              <w:rPr>
                <w:rFonts w:hint="eastAsia" w:ascii="仿宋" w:hAnsi="仿宋" w:eastAsia="仿宋" w:cs="仿宋"/>
                <w:b w:val="0"/>
                <w:bCs w:val="0"/>
                <w:i w:val="0"/>
                <w:iCs w:val="0"/>
                <w:color w:val="auto"/>
                <w:sz w:val="16"/>
                <w:szCs w:val="16"/>
                <w:u w:val="none"/>
              </w:rPr>
            </w:pPr>
          </w:p>
        </w:tc>
      </w:tr>
      <w:tr w14:paraId="7F8A4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C814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9AB0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现金流出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5DE0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33,527.62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A16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34,487.62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BDB7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30,475.82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19F0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6C4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C3A0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115C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161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AE5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537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6E8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EFB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C7A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1EA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B47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002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631D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r>
      <w:tr w14:paraId="3FDA8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289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B3F1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建设投资</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284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33,527.62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C4CE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34,487.62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F86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30,475.82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5A1C1">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A60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589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7248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C1F0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2543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1C5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E34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2F5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4AC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C0A1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2AB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C93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65705">
            <w:pPr>
              <w:jc w:val="center"/>
              <w:rPr>
                <w:rFonts w:hint="eastAsia" w:ascii="仿宋" w:hAnsi="仿宋" w:eastAsia="仿宋" w:cs="仿宋"/>
                <w:b w:val="0"/>
                <w:bCs w:val="0"/>
                <w:i w:val="0"/>
                <w:iCs w:val="0"/>
                <w:color w:val="auto"/>
                <w:sz w:val="16"/>
                <w:szCs w:val="16"/>
                <w:u w:val="none"/>
              </w:rPr>
            </w:pPr>
          </w:p>
        </w:tc>
      </w:tr>
      <w:tr w14:paraId="32155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6EC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577B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维持运营投资</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3AB48">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979CB">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1EF3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0B86">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B01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863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853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6914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E655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4547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9C27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FBE0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6E38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2B9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4F89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8EA7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C2029">
            <w:pPr>
              <w:jc w:val="center"/>
              <w:rPr>
                <w:rFonts w:hint="eastAsia" w:ascii="仿宋" w:hAnsi="仿宋" w:eastAsia="仿宋" w:cs="仿宋"/>
                <w:b w:val="0"/>
                <w:bCs w:val="0"/>
                <w:i w:val="0"/>
                <w:iCs w:val="0"/>
                <w:color w:val="auto"/>
                <w:sz w:val="16"/>
                <w:szCs w:val="16"/>
                <w:u w:val="none"/>
              </w:rPr>
            </w:pPr>
          </w:p>
        </w:tc>
      </w:tr>
      <w:tr w14:paraId="5938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246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2.2.3</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A1C1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流动资金</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5807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F99F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787A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91BF3">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AE6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7F08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3B8F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715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65C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756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1B4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3A0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AE05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2C0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43B4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10E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3C7D">
            <w:pPr>
              <w:jc w:val="center"/>
              <w:rPr>
                <w:rFonts w:hint="eastAsia" w:ascii="仿宋" w:hAnsi="仿宋" w:eastAsia="仿宋" w:cs="仿宋"/>
                <w:b w:val="0"/>
                <w:bCs w:val="0"/>
                <w:i w:val="0"/>
                <w:iCs w:val="0"/>
                <w:color w:val="auto"/>
                <w:sz w:val="16"/>
                <w:szCs w:val="16"/>
                <w:u w:val="none"/>
              </w:rPr>
            </w:pPr>
          </w:p>
        </w:tc>
      </w:tr>
      <w:tr w14:paraId="1FEED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5A3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2.2.4</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CD9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其他流出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F266">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BF2A4">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DE2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A2DCA">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EDB6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9A0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A64D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91AB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0CB1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A636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E85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D12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CD26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1192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2CFC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383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4FC6">
            <w:pPr>
              <w:jc w:val="center"/>
              <w:rPr>
                <w:rFonts w:hint="eastAsia" w:ascii="仿宋" w:hAnsi="仿宋" w:eastAsia="仿宋" w:cs="仿宋"/>
                <w:b w:val="0"/>
                <w:bCs w:val="0"/>
                <w:i w:val="0"/>
                <w:iCs w:val="0"/>
                <w:color w:val="auto"/>
                <w:sz w:val="16"/>
                <w:szCs w:val="16"/>
                <w:u w:val="none"/>
              </w:rPr>
            </w:pPr>
          </w:p>
        </w:tc>
      </w:tr>
      <w:tr w14:paraId="1ABE1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1F9D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3380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筹资活动净现金流量</w:t>
            </w:r>
            <w:r>
              <w:rPr>
                <w:rStyle w:val="36"/>
                <w:rFonts w:hint="eastAsia" w:ascii="仿宋" w:hAnsi="仿宋" w:eastAsia="仿宋" w:cs="仿宋"/>
                <w:b w:val="0"/>
                <w:bCs w:val="0"/>
                <w:color w:val="auto"/>
                <w:sz w:val="16"/>
                <w:szCs w:val="16"/>
                <w:lang w:val="en-US" w:eastAsia="zh-CN" w:bidi="ar"/>
              </w:rPr>
              <w:t>(3.1-3.2)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462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33,527.62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14C0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34,487.62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8B58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30,475.82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A7B5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631F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5543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0FCA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711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A678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D17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08B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C3FA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C1ED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1F5F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0F0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3001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6DD3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r>
      <w:tr w14:paraId="37DE3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AF0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1426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现金流入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0FA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33,527.62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84D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34,487.62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F0F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30,475.82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95C7">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72DB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1DD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8796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8AE8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3BE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385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8C43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3E2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5B3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FD15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F4DB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79B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1943">
            <w:pPr>
              <w:jc w:val="center"/>
              <w:rPr>
                <w:rFonts w:hint="eastAsia" w:ascii="仿宋" w:hAnsi="仿宋" w:eastAsia="仿宋" w:cs="仿宋"/>
                <w:b w:val="0"/>
                <w:bCs w:val="0"/>
                <w:i w:val="0"/>
                <w:iCs w:val="0"/>
                <w:color w:val="auto"/>
                <w:sz w:val="16"/>
                <w:szCs w:val="16"/>
                <w:u w:val="none"/>
              </w:rPr>
            </w:pPr>
          </w:p>
        </w:tc>
      </w:tr>
      <w:tr w14:paraId="5DC2F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6735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E98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项目资本金投入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9275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8,527.62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9725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8,487.62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7E9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6,475.82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8094">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EB11">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D99E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AF1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09AA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B7C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4CF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195C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1EF7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1AFE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A60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826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C1F9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E0FF">
            <w:pPr>
              <w:jc w:val="center"/>
              <w:rPr>
                <w:rFonts w:hint="eastAsia" w:ascii="仿宋" w:hAnsi="仿宋" w:eastAsia="仿宋" w:cs="仿宋"/>
                <w:b w:val="0"/>
                <w:bCs w:val="0"/>
                <w:i w:val="0"/>
                <w:iCs w:val="0"/>
                <w:color w:val="auto"/>
                <w:sz w:val="16"/>
                <w:szCs w:val="16"/>
                <w:u w:val="none"/>
              </w:rPr>
            </w:pPr>
          </w:p>
        </w:tc>
      </w:tr>
      <w:tr w14:paraId="043D3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D163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D874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建设投资借款</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4860">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BA428">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429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4207">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536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E228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905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F3B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F5C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772C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5BB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0A00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2C9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9542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68F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3B2C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CE11B">
            <w:pPr>
              <w:jc w:val="center"/>
              <w:rPr>
                <w:rFonts w:hint="eastAsia" w:ascii="仿宋" w:hAnsi="仿宋" w:eastAsia="仿宋" w:cs="仿宋"/>
                <w:b w:val="0"/>
                <w:bCs w:val="0"/>
                <w:i w:val="0"/>
                <w:iCs w:val="0"/>
                <w:color w:val="auto"/>
                <w:sz w:val="16"/>
                <w:szCs w:val="16"/>
                <w:u w:val="none"/>
              </w:rPr>
            </w:pPr>
          </w:p>
        </w:tc>
      </w:tr>
      <w:tr w14:paraId="3B2B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9375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3.1.3</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135D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流动资金借款</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BB44">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EB20">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FD4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08AD">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693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6FE7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CD8C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981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AA4D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E43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F22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06E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BD2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35D5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459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084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22E9A">
            <w:pPr>
              <w:jc w:val="center"/>
              <w:rPr>
                <w:rFonts w:hint="eastAsia" w:ascii="仿宋" w:hAnsi="仿宋" w:eastAsia="仿宋" w:cs="仿宋"/>
                <w:b w:val="0"/>
                <w:bCs w:val="0"/>
                <w:i w:val="0"/>
                <w:iCs w:val="0"/>
                <w:color w:val="auto"/>
                <w:sz w:val="16"/>
                <w:szCs w:val="16"/>
                <w:u w:val="none"/>
              </w:rPr>
            </w:pPr>
          </w:p>
        </w:tc>
      </w:tr>
      <w:tr w14:paraId="75C67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873E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3.1.4</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A3E6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8"/>
                <w:rFonts w:ascii="仿宋" w:hAnsi="仿宋" w:eastAsia="仿宋" w:cs="仿宋"/>
                <w:b w:val="0"/>
                <w:bCs w:val="0"/>
                <w:color w:val="auto"/>
                <w:sz w:val="16"/>
                <w:szCs w:val="16"/>
                <w:lang w:val="en-US" w:eastAsia="zh-CN" w:bidi="ar"/>
              </w:rPr>
              <w:t>债券资金流入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7FA2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25,000.00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FD6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26,000.00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DA2E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24,000.00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4E51">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E932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6B1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C90F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0B0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2426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0FC3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B4D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144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D10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2E93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FAF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05F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B025">
            <w:pPr>
              <w:jc w:val="center"/>
              <w:rPr>
                <w:rFonts w:hint="eastAsia" w:ascii="仿宋" w:hAnsi="仿宋" w:eastAsia="仿宋" w:cs="仿宋"/>
                <w:b w:val="0"/>
                <w:bCs w:val="0"/>
                <w:i w:val="0"/>
                <w:iCs w:val="0"/>
                <w:color w:val="auto"/>
                <w:sz w:val="16"/>
                <w:szCs w:val="16"/>
                <w:u w:val="none"/>
              </w:rPr>
            </w:pPr>
          </w:p>
        </w:tc>
      </w:tr>
      <w:tr w14:paraId="7D238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7C1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3.1.5</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EE00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市场化融资流入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3D27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CB73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FDB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07308">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63AA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9113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169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2102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86F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EA94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901E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9C1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C01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B029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13F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753B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E350">
            <w:pPr>
              <w:jc w:val="center"/>
              <w:rPr>
                <w:rFonts w:hint="eastAsia" w:ascii="仿宋" w:hAnsi="仿宋" w:eastAsia="仿宋" w:cs="仿宋"/>
                <w:b w:val="0"/>
                <w:bCs w:val="0"/>
                <w:i w:val="0"/>
                <w:iCs w:val="0"/>
                <w:color w:val="auto"/>
                <w:sz w:val="16"/>
                <w:szCs w:val="16"/>
                <w:u w:val="none"/>
              </w:rPr>
            </w:pPr>
          </w:p>
        </w:tc>
      </w:tr>
      <w:tr w14:paraId="00916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2684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3.1.6</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0C92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其他流入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D32C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4C99">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5053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4B220">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71B5D">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417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379B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38F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5B102">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E0E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7A4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5B0F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F14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47D7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1422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815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A02B">
            <w:pPr>
              <w:jc w:val="center"/>
              <w:rPr>
                <w:rFonts w:hint="eastAsia" w:ascii="仿宋" w:hAnsi="仿宋" w:eastAsia="仿宋" w:cs="仿宋"/>
                <w:b w:val="0"/>
                <w:bCs w:val="0"/>
                <w:i w:val="0"/>
                <w:iCs w:val="0"/>
                <w:color w:val="auto"/>
                <w:sz w:val="16"/>
                <w:szCs w:val="16"/>
                <w:u w:val="none"/>
              </w:rPr>
            </w:pPr>
          </w:p>
        </w:tc>
      </w:tr>
      <w:tr w14:paraId="3A58F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7297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ACC5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现金流出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183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C6344">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78303">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4648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EBDC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1CD5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989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71A7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8BC7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59F0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C1D4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323E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A9A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5A6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8A5C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D5F8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67B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r>
      <w:tr w14:paraId="38197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52AD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3.2.1</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CB66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各种利息支出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8E1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723C">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995D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7077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0D38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37A0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241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5BB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157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401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772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DC3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F0AC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338C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2D47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DEF7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61E4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2,100.00</w:t>
            </w:r>
          </w:p>
        </w:tc>
      </w:tr>
      <w:tr w14:paraId="2CF2F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188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3.2.2</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934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8"/>
                <w:rFonts w:ascii="仿宋" w:hAnsi="仿宋" w:eastAsia="仿宋" w:cs="仿宋"/>
                <w:b w:val="0"/>
                <w:bCs w:val="0"/>
                <w:color w:val="auto"/>
                <w:sz w:val="16"/>
                <w:szCs w:val="16"/>
                <w:lang w:val="en-US" w:eastAsia="zh-CN" w:bidi="ar"/>
              </w:rPr>
              <w:t>偿还债券本金流出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3372">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B902E">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B802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99C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3B62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09F8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EE6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295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A23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4984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1E8D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BA75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3415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61BA">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35CE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296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360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r>
      <w:tr w14:paraId="4AFBA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DB28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3.2.3</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24CE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偿还市场化融资本金流出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285AB">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4FCD">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B7CC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0908A">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1D54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B58B4">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ACF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B47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93D26">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9917">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D65A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79AA">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37B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359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9EB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962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DDA55">
            <w:pPr>
              <w:jc w:val="center"/>
              <w:rPr>
                <w:rFonts w:hint="eastAsia" w:ascii="仿宋" w:hAnsi="仿宋" w:eastAsia="仿宋" w:cs="仿宋"/>
                <w:b w:val="0"/>
                <w:bCs w:val="0"/>
                <w:i w:val="0"/>
                <w:iCs w:val="0"/>
                <w:color w:val="auto"/>
                <w:sz w:val="16"/>
                <w:szCs w:val="16"/>
                <w:u w:val="none"/>
              </w:rPr>
            </w:pPr>
          </w:p>
        </w:tc>
      </w:tr>
      <w:tr w14:paraId="7BF63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CB2E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3.2.4</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F7D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其他流出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D84D5">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AB5D">
            <w:pPr>
              <w:jc w:val="center"/>
              <w:rPr>
                <w:rFonts w:hint="eastAsia" w:ascii="仿宋" w:hAnsi="仿宋" w:eastAsia="仿宋" w:cs="仿宋"/>
                <w:b w:val="0"/>
                <w:bCs w:val="0"/>
                <w:i w:val="0"/>
                <w:iCs w:val="0"/>
                <w:color w:val="auto"/>
                <w:sz w:val="16"/>
                <w:szCs w:val="16"/>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9135">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555C">
            <w:pPr>
              <w:jc w:val="center"/>
              <w:rPr>
                <w:rFonts w:hint="eastAsia" w:ascii="仿宋" w:hAnsi="仿宋" w:eastAsia="仿宋" w:cs="仿宋"/>
                <w:b w:val="0"/>
                <w:bCs w:val="0"/>
                <w:i w:val="0"/>
                <w:iCs w:val="0"/>
                <w:color w:val="auto"/>
                <w:sz w:val="16"/>
                <w:szCs w:val="16"/>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D4AB">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95E4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80BD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A278">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1981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9006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99D8C">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091B9">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E3BC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559F">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8740">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003E">
            <w:pPr>
              <w:jc w:val="center"/>
              <w:rPr>
                <w:rFonts w:hint="eastAsia" w:ascii="仿宋" w:hAnsi="仿宋" w:eastAsia="仿宋" w:cs="仿宋"/>
                <w:b w:val="0"/>
                <w:bCs w:val="0"/>
                <w:i w:val="0"/>
                <w:iCs w:val="0"/>
                <w:color w:val="auto"/>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C8571">
            <w:pPr>
              <w:jc w:val="center"/>
              <w:rPr>
                <w:rFonts w:hint="eastAsia" w:ascii="仿宋" w:hAnsi="仿宋" w:eastAsia="仿宋" w:cs="仿宋"/>
                <w:b w:val="0"/>
                <w:bCs w:val="0"/>
                <w:i w:val="0"/>
                <w:iCs w:val="0"/>
                <w:color w:val="auto"/>
                <w:sz w:val="16"/>
                <w:szCs w:val="16"/>
                <w:u w:val="none"/>
              </w:rPr>
            </w:pPr>
          </w:p>
        </w:tc>
      </w:tr>
      <w:tr w14:paraId="6F7C9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53CA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1F888">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净现金流量（</w:t>
            </w:r>
            <w:r>
              <w:rPr>
                <w:rStyle w:val="36"/>
                <w:rFonts w:hint="eastAsia" w:ascii="仿宋" w:hAnsi="仿宋" w:eastAsia="仿宋" w:cs="仿宋"/>
                <w:b w:val="0"/>
                <w:bCs w:val="0"/>
                <w:color w:val="auto"/>
                <w:sz w:val="16"/>
                <w:szCs w:val="16"/>
                <w:lang w:val="en-US" w:eastAsia="zh-CN" w:bidi="ar"/>
              </w:rPr>
              <w:t>1+2+3</w:t>
            </w:r>
            <w:r>
              <w:rPr>
                <w:rStyle w:val="35"/>
                <w:rFonts w:ascii="仿宋" w:hAnsi="仿宋" w:eastAsia="仿宋" w:cs="仿宋"/>
                <w:b w:val="0"/>
                <w:bCs w:val="0"/>
                <w:color w:val="auto"/>
                <w:sz w:val="16"/>
                <w:szCs w:val="16"/>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E235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632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37E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EA7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1,062.43</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97F3">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82A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1,062.43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6F2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1,086.73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B02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1,083.25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2977">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2,239.78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CEA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2,275.84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E84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2,275.84</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B2920">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2,272.12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A7A4">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2,310.35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D41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3,488.09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96EE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3,488.09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DAA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3,536.27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5FE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3,536.27</w:t>
            </w:r>
          </w:p>
        </w:tc>
      </w:tr>
      <w:tr w14:paraId="5574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jc w:val="center"/>
        </w:trPr>
        <w:tc>
          <w:tcPr>
            <w:tcW w:w="1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22B1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w:t>
            </w:r>
          </w:p>
        </w:tc>
        <w:tc>
          <w:tcPr>
            <w:tcW w:w="6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A7EB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Style w:val="35"/>
                <w:rFonts w:ascii="仿宋" w:hAnsi="仿宋" w:eastAsia="仿宋" w:cs="仿宋"/>
                <w:b w:val="0"/>
                <w:bCs w:val="0"/>
                <w:color w:val="auto"/>
                <w:sz w:val="16"/>
                <w:szCs w:val="16"/>
                <w:lang w:val="en-US" w:eastAsia="zh-CN" w:bidi="ar"/>
              </w:rPr>
              <w:t>累计盈余资金</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494C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7019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3A2D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0.00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8AC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1,062.43</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C61B5">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2,124.86</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1BB2B">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3,187.29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0CB9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4,274.02</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6BAA9">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5,357.27</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C3BC1">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7,597.05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3AE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9,872.89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6CABE">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12,148.73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77912">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14,420.85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2FB9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16,731.20</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723C">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20,219.29</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65D5D">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23,707.38</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F3BF">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27,243.65</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5CC6">
            <w:pPr>
              <w:keepNext w:val="0"/>
              <w:keepLines w:val="0"/>
              <w:widowControl/>
              <w:suppressLineNumbers w:val="0"/>
              <w:spacing w:line="240" w:lineRule="auto"/>
              <w:ind w:firstLine="0" w:firstLineChars="0"/>
              <w:jc w:val="center"/>
              <w:textAlignment w:val="center"/>
              <w:rPr>
                <w:rFonts w:hint="eastAsia" w:ascii="仿宋" w:hAnsi="仿宋" w:eastAsia="仿宋" w:cs="仿宋"/>
                <w:b w:val="0"/>
                <w:bCs w:val="0"/>
                <w:i w:val="0"/>
                <w:iCs w:val="0"/>
                <w:color w:val="auto"/>
                <w:sz w:val="16"/>
                <w:szCs w:val="16"/>
                <w:u w:val="none"/>
              </w:rPr>
            </w:pPr>
            <w:r>
              <w:rPr>
                <w:rFonts w:hint="eastAsia" w:ascii="仿宋" w:hAnsi="仿宋" w:eastAsia="仿宋" w:cs="仿宋"/>
                <w:b w:val="0"/>
                <w:bCs w:val="0"/>
                <w:i w:val="0"/>
                <w:iCs w:val="0"/>
                <w:color w:val="auto"/>
                <w:kern w:val="0"/>
                <w:sz w:val="16"/>
                <w:szCs w:val="16"/>
                <w:u w:val="none"/>
                <w:lang w:val="en-US" w:eastAsia="zh-CN" w:bidi="ar"/>
              </w:rPr>
              <w:t>30,779.92</w:t>
            </w:r>
          </w:p>
        </w:tc>
      </w:tr>
    </w:tbl>
    <w:p w14:paraId="0E0C363F">
      <w:pPr>
        <w:pStyle w:val="18"/>
        <w:ind w:firstLine="0" w:firstLineChars="0"/>
        <w:rPr>
          <w:rFonts w:hint="eastAsia" w:eastAsia="宋体"/>
          <w:color w:val="auto"/>
          <w:lang w:val="en-US" w:eastAsia="zh-CN"/>
        </w:rPr>
      </w:pPr>
      <w:r>
        <w:rPr>
          <w:rFonts w:hint="eastAsia" w:eastAsia="宋体"/>
          <w:color w:val="auto"/>
          <w:lang w:val="en-US" w:eastAsia="zh-CN"/>
        </w:rPr>
        <w:t>续表：</w:t>
      </w:r>
    </w:p>
    <w:tbl>
      <w:tblPr>
        <w:tblStyle w:val="14"/>
        <w:tblW w:w="500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23"/>
        <w:gridCol w:w="890"/>
        <w:gridCol w:w="852"/>
        <w:gridCol w:w="852"/>
        <w:gridCol w:w="852"/>
        <w:gridCol w:w="852"/>
        <w:gridCol w:w="852"/>
        <w:gridCol w:w="852"/>
        <w:gridCol w:w="852"/>
        <w:gridCol w:w="852"/>
        <w:gridCol w:w="852"/>
        <w:gridCol w:w="852"/>
        <w:gridCol w:w="852"/>
        <w:gridCol w:w="852"/>
        <w:gridCol w:w="910"/>
        <w:gridCol w:w="910"/>
        <w:gridCol w:w="944"/>
        <w:gridCol w:w="910"/>
      </w:tblGrid>
      <w:tr w14:paraId="2C8EF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EF2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序号</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A45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w:t>
            </w:r>
          </w:p>
        </w:tc>
        <w:tc>
          <w:tcPr>
            <w:tcW w:w="4283" w:type="pct"/>
            <w:gridSpan w:val="15"/>
            <w:tcBorders>
              <w:top w:val="single" w:color="000000" w:sz="4" w:space="0"/>
              <w:left w:val="nil"/>
              <w:bottom w:val="single" w:color="000000" w:sz="4" w:space="0"/>
              <w:right w:val="single" w:color="000000" w:sz="4" w:space="0"/>
            </w:tcBorders>
            <w:shd w:val="clear" w:color="auto" w:fill="auto"/>
            <w:noWrap/>
            <w:vAlign w:val="center"/>
          </w:tcPr>
          <w:p w14:paraId="47031907">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41D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合计</w:t>
            </w:r>
          </w:p>
        </w:tc>
      </w:tr>
      <w:tr w14:paraId="4715D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9FDED">
            <w:pPr>
              <w:jc w:val="center"/>
              <w:rPr>
                <w:rFonts w:hint="eastAsia" w:ascii="仿宋" w:hAnsi="仿宋" w:eastAsia="仿宋" w:cs="仿宋"/>
                <w:i w:val="0"/>
                <w:iCs w:val="0"/>
                <w:color w:val="auto"/>
                <w:sz w:val="16"/>
                <w:szCs w:val="16"/>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3EE7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41C3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BCA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889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FB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665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891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F40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BCE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4E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5B9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AC95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B7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A1E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9A5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6E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29</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5F2D">
            <w:pPr>
              <w:jc w:val="center"/>
              <w:rPr>
                <w:rFonts w:hint="eastAsia" w:ascii="仿宋" w:hAnsi="仿宋" w:eastAsia="仿宋" w:cs="仿宋"/>
                <w:i w:val="0"/>
                <w:iCs w:val="0"/>
                <w:color w:val="auto"/>
                <w:sz w:val="16"/>
                <w:szCs w:val="16"/>
                <w:u w:val="none"/>
              </w:rPr>
            </w:pPr>
          </w:p>
        </w:tc>
      </w:tr>
      <w:tr w14:paraId="18B79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03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7A2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经营活动净现金流量（1.1-1.2）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D71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5,636.27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A99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5,908.27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12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5,904.11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49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5,904.11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784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5,975.66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9614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5,975.66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FD04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6,201.06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9B18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6,132.19</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F0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5,937.81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6C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5,937.81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49E4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6,005.57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6C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6,199.22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0A7C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6,150.15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154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5,692.79</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BC2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5,507.05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E4D7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149,247.65</w:t>
            </w:r>
          </w:p>
        </w:tc>
      </w:tr>
      <w:tr w14:paraId="206C5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D60F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40D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430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6,493.72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948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6,795.95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57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6,795.95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6EE7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6,795.95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D9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6,875.44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20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6,875.44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43A6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7,130.78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C8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7,230.36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A2D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7,230.36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19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7,230.36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04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7,335.91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543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7,622.80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EFA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7,622.80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66F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7,751.91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A9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7,751.91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3A3E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177,542.24</w:t>
            </w:r>
          </w:p>
        </w:tc>
      </w:tr>
      <w:tr w14:paraId="5DFB8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03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798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营业收入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CF1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6,493.72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2C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6,795.95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992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6,795.95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7B0D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6,795.95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F8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6,875.44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93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6,875.44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7D3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7,130.78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08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7,230.36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5C9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7,230.36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92D8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7,230.36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526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7,335.91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771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7,622.80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E710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7,622.80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F61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7,751.91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EC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7,751.91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28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177,542.24</w:t>
            </w:r>
          </w:p>
        </w:tc>
      </w:tr>
      <w:tr w14:paraId="1A4E3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991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874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E8A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25E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8B6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029F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AA60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6CD4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38D8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A4D2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FEBD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B8C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590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41FF">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0403B">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76E92">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8571F">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0AD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39783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30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24D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65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857.45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87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887.68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D8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891.84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10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891.84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9B8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899.78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895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899.78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7AE4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929.72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359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1,098.17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35DD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1,292.55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3FB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1,292.55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35A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1,330.34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4DA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1,423.58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AD5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1,472.65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066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2,059.12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71FC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2,244.86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FFD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28,294.59</w:t>
            </w:r>
          </w:p>
        </w:tc>
      </w:tr>
      <w:tr w14:paraId="2CE3B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14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7EF8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经营成本</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00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857.45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460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887.68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10F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891.84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71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891.84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B4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899.78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80B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899.78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EE5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929.72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4B12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939.67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125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939.67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E3D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939.67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0BD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954.87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AF5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983.56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195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983.56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07C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996.47</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761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1,001.45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AEA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23,819.69</w:t>
            </w:r>
          </w:p>
        </w:tc>
      </w:tr>
      <w:tr w14:paraId="4FB8A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922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35A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税金及附加</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152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4DC9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7D10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343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3C6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3AB2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F485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0462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545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8A5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377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34A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C4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65.43</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33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558.11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37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558.11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508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1,181.65</w:t>
            </w:r>
          </w:p>
        </w:tc>
      </w:tr>
      <w:tr w14:paraId="5A087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68E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1.2.3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45C8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所得税</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8BF4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BC50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ED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614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920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82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FC1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0507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158.50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019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352.88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E3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352.88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E16D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375.47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6C6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440.02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9D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423.66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B5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504.54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5A5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685.30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93E9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3,293.25</w:t>
            </w:r>
          </w:p>
        </w:tc>
      </w:tr>
      <w:tr w14:paraId="55EB9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26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E98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投资活动净现金流量(2.1-2.2)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F636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4603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F86F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C79A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6AE3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4D4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3636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589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9E12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EB02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357F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7268C">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6A04F">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EFB8C">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D4BDA">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6EA4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-98,491.06</w:t>
            </w:r>
          </w:p>
        </w:tc>
      </w:tr>
      <w:tr w14:paraId="7145C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AD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90D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7BDD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26E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8BE5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0918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D47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B278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A69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1C8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AA4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34B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E70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ADF8">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3F97">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6AC58">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419E">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866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14E6E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E83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A4A7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B6F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BEF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E58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1B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09A3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F8B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6D5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35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514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77F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C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BD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1149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36C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20A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D0D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98,491.06</w:t>
            </w:r>
          </w:p>
        </w:tc>
      </w:tr>
      <w:tr w14:paraId="13153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DF9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995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建设投资</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763B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C142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DF6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232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7B1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F16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03A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6BA6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FA99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C7FB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19E8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979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205F0">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DE8A">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FB544">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AED0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98,491.06</w:t>
            </w:r>
          </w:p>
        </w:tc>
      </w:tr>
      <w:tr w14:paraId="284E4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E92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18A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维持运营投资</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A13F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B9D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331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5FD8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BEC9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D4AF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11C9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3BF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4E1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DD3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50A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28249">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56957">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3C0B7">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C3E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0F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1DE36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110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2162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流动资金</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9E9B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B2D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8FC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2CD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2B79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30D0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A2F4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2EC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4F8A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DF5F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91D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0FED1">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C49D">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294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B4AC1">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134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1D233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7CFC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2.2.4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4E4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B017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475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C8F0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1DD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DCA9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C27D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771E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456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CC6D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BD25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CB0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ACDF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19EE7">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79A31">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B4678">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72E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464A2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03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C98B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筹资活动净现金流量(3.1-3.2)</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4AE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B1F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A1C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99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FF5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A2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037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97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C5A3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073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C98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68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1CE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E9B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-27,400.00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E5C0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-24,672.00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CC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-35,280.94</w:t>
            </w:r>
          </w:p>
        </w:tc>
      </w:tr>
      <w:tr w14:paraId="21B8F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63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BB3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699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8EC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335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458D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12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0A7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4E6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28E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4963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29BE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CACD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9F95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B08C">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B74A">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29F0">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98B3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98,491.06</w:t>
            </w:r>
          </w:p>
        </w:tc>
      </w:tr>
      <w:tr w14:paraId="3F7F0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30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0241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项目资本金投入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8F81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DD77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7A01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3D4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53D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F5C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3758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10D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BCF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9F0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0F1B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F8D1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FABB8">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958D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352A">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63C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23,491.06</w:t>
            </w:r>
          </w:p>
        </w:tc>
      </w:tr>
      <w:tr w14:paraId="4B41C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82A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92BF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建设投资借款</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7FBD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BF6B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5E0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E68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873D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AF8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E1C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8C5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EE8B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015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404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3F8A">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B9D8">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359C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8023B">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7CF17">
            <w:pPr>
              <w:jc w:val="center"/>
              <w:rPr>
                <w:rFonts w:hint="eastAsia" w:ascii="仿宋" w:hAnsi="仿宋" w:eastAsia="仿宋" w:cs="仿宋"/>
                <w:i w:val="0"/>
                <w:iCs w:val="0"/>
                <w:color w:val="auto"/>
                <w:sz w:val="16"/>
                <w:szCs w:val="16"/>
                <w:u w:val="none"/>
              </w:rPr>
            </w:pPr>
          </w:p>
        </w:tc>
      </w:tr>
      <w:tr w14:paraId="18878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9242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6CE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流动资金借款</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7BF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D4A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F6B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2D3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FE2C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AC92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6FD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FCF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40A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C873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56CD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90755">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EB5F">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02EAE">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206A">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59651">
            <w:pPr>
              <w:jc w:val="center"/>
              <w:rPr>
                <w:rFonts w:hint="eastAsia" w:ascii="仿宋" w:hAnsi="仿宋" w:eastAsia="仿宋" w:cs="仿宋"/>
                <w:i w:val="0"/>
                <w:iCs w:val="0"/>
                <w:color w:val="auto"/>
                <w:sz w:val="16"/>
                <w:szCs w:val="16"/>
                <w:u w:val="none"/>
              </w:rPr>
            </w:pPr>
          </w:p>
        </w:tc>
      </w:tr>
      <w:tr w14:paraId="1D86E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978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33DEB">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auto"/>
                <w:sz w:val="16"/>
                <w:szCs w:val="16"/>
                <w:u w:val="none"/>
              </w:rPr>
            </w:pPr>
            <w:r>
              <w:rPr>
                <w:rFonts w:hint="eastAsia" w:ascii="仿宋" w:hAnsi="仿宋" w:eastAsia="仿宋" w:cs="仿宋"/>
                <w:b/>
                <w:bCs/>
                <w:i w:val="0"/>
                <w:iCs w:val="0"/>
                <w:color w:val="auto"/>
                <w:kern w:val="0"/>
                <w:sz w:val="16"/>
                <w:szCs w:val="16"/>
                <w:u w:val="none"/>
                <w:lang w:val="en-US" w:eastAsia="zh-CN" w:bidi="ar"/>
              </w:rPr>
              <w:t>债券资金流入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FFD3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111F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1359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4566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3104B">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B44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2BB6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D0CC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60B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5D6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162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E06E0">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076C7">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3DC5">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7C5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CE7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r>
      <w:tr w14:paraId="3A504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136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57D4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市场化融资流入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A5F9">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3BB5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6051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3047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29E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D45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A8F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C2D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C66C">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381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585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C242">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62FF">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EE240">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8C83">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221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23AF4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9F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3.1.6</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014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其他流入</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04E6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4126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EFFC1">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E401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F95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FAC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64D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2E8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A8E3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1A27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D2D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36035">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F7CD">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51DB">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C22A3">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56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7B9C2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985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8570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现金流出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93C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6509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C1A7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224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C1A0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3A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766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A78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1BF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36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89A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2157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462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0ED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27,400.00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BE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24,672.00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94A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133,772.00</w:t>
            </w:r>
          </w:p>
        </w:tc>
      </w:tr>
      <w:tr w14:paraId="59FAC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21CB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3.2.1</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378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各种利息支出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5BE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97F3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4C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228C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ED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8F4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EA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7D1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44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6051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49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C38B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EA2D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947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1,400.00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1FDD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672.00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5CE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58,772.00</w:t>
            </w:r>
          </w:p>
        </w:tc>
      </w:tr>
      <w:tr w14:paraId="2B3B1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D0C9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3.2.2</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A5AB">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auto"/>
                <w:sz w:val="16"/>
                <w:szCs w:val="16"/>
                <w:u w:val="none"/>
              </w:rPr>
            </w:pPr>
            <w:r>
              <w:rPr>
                <w:rFonts w:hint="eastAsia" w:ascii="仿宋" w:hAnsi="仿宋" w:eastAsia="仿宋" w:cs="仿宋"/>
                <w:b/>
                <w:bCs/>
                <w:i w:val="0"/>
                <w:iCs w:val="0"/>
                <w:color w:val="auto"/>
                <w:kern w:val="0"/>
                <w:sz w:val="16"/>
                <w:szCs w:val="16"/>
                <w:u w:val="none"/>
                <w:lang w:val="en-US" w:eastAsia="zh-CN" w:bidi="ar"/>
              </w:rPr>
              <w:t>偿还债券本金流出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B65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390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3B0C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1801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9F5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A01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825E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065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2997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851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75F7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A4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BEA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25,000.00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41D1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26,000.00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47B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24,000.00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A13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75,000.00</w:t>
            </w:r>
          </w:p>
        </w:tc>
      </w:tr>
      <w:tr w14:paraId="3175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28C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3.2.3</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6124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偿还市场化融资本金流出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C97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E1B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FE2A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0AA86">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E40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D24D">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9F74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5DF2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27A1A">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A12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DA62">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9AD6">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4FC8">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36002">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288A3">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F7CC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4E864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4"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BF6F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3.2.4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F7A8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其他流出</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7E18">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B27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FAAD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C315">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69F7">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276E">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F738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0790">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ECD4">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019F">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B9F3">
            <w:pPr>
              <w:jc w:val="center"/>
              <w:rPr>
                <w:rFonts w:hint="eastAsia" w:ascii="仿宋" w:hAnsi="仿宋" w:eastAsia="仿宋" w:cs="仿宋"/>
                <w:i w:val="0"/>
                <w:iCs w:val="0"/>
                <w:color w:val="auto"/>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9580">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D190">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03414">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0643">
            <w:pPr>
              <w:jc w:val="center"/>
              <w:rPr>
                <w:rFonts w:hint="eastAsia" w:ascii="仿宋" w:hAnsi="仿宋" w:eastAsia="仿宋" w:cs="仿宋"/>
                <w:i w:val="0"/>
                <w:iCs w:val="0"/>
                <w:color w:val="auto"/>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2F8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0.00</w:t>
            </w:r>
          </w:p>
        </w:tc>
      </w:tr>
      <w:tr w14:paraId="2C5B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2"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B0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26C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净现金流量（1+2+3）</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EC0C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3,536.27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606D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3,808.27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2FD8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3,804.11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EDBD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3,804.11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BD2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3,875.66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DFFC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3,875.66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6930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4,101.06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E5B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4,032.19</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0F08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3,837.81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832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3,837.81</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AAF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3,905.57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45D0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4,099.22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AE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-20,949.85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E86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-21,707.21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1B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-19,164.95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AAB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15,475.65</w:t>
            </w:r>
          </w:p>
        </w:tc>
      </w:tr>
      <w:tr w14:paraId="4D04D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BF8E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7AF0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累计盈余资金</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356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34,316.19</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9D5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38,124.46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BF02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41,928.57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E7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45,732.68</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A5B1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49,608.34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EA0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53,484.00</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169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57,585.06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4D48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61,617.25</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356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65,455.06</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768A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69,292.87</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210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73,198.44</w:t>
            </w:r>
          </w:p>
        </w:tc>
        <w:tc>
          <w:tcPr>
            <w:tcW w:w="2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5FA6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77,297.66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7CCF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56,347.81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8AD1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34,640.60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C4B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auto"/>
                <w:sz w:val="16"/>
                <w:szCs w:val="16"/>
                <w:u w:val="none"/>
              </w:rPr>
            </w:pPr>
            <w:r>
              <w:rPr>
                <w:rFonts w:hint="eastAsia" w:ascii="仿宋" w:hAnsi="仿宋" w:eastAsia="仿宋" w:cs="仿宋"/>
                <w:i w:val="0"/>
                <w:iCs w:val="0"/>
                <w:color w:val="auto"/>
                <w:kern w:val="0"/>
                <w:sz w:val="16"/>
                <w:szCs w:val="16"/>
                <w:u w:val="none"/>
                <w:lang w:val="en-US" w:eastAsia="zh-CN" w:bidi="ar"/>
              </w:rPr>
              <w:t>15,475.65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9BC2C">
            <w:pPr>
              <w:jc w:val="center"/>
              <w:rPr>
                <w:rFonts w:hint="eastAsia" w:ascii="仿宋" w:hAnsi="仿宋" w:eastAsia="仿宋" w:cs="仿宋"/>
                <w:i w:val="0"/>
                <w:iCs w:val="0"/>
                <w:color w:val="auto"/>
                <w:sz w:val="16"/>
                <w:szCs w:val="16"/>
                <w:u w:val="none"/>
              </w:rPr>
            </w:pPr>
          </w:p>
        </w:tc>
      </w:tr>
    </w:tbl>
    <w:p w14:paraId="5B2F5173">
      <w:pPr>
        <w:pStyle w:val="18"/>
        <w:ind w:firstLine="0" w:firstLineChars="0"/>
        <w:rPr>
          <w:rFonts w:hint="eastAsia" w:eastAsia="宋体"/>
          <w:color w:val="auto"/>
          <w:lang w:val="en-US" w:eastAsia="zh-CN"/>
        </w:rPr>
      </w:pPr>
    </w:p>
    <w:p w14:paraId="6FA53120">
      <w:pPr>
        <w:pStyle w:val="18"/>
        <w:shd w:val="clear"/>
        <w:ind w:firstLine="0" w:firstLineChars="0"/>
        <w:rPr>
          <w:rFonts w:hint="eastAsia" w:eastAsia="宋体"/>
          <w:color w:val="auto"/>
          <w:lang w:val="en-US" w:eastAsia="zh-CN"/>
        </w:rPr>
        <w:sectPr>
          <w:pgSz w:w="16838" w:h="11906" w:orient="landscape"/>
          <w:pgMar w:top="720" w:right="720" w:bottom="720" w:left="720" w:header="709" w:footer="567" w:gutter="0"/>
          <w:cols w:space="425" w:num="1"/>
          <w:docGrid w:type="lines" w:linePitch="326" w:charSpace="0"/>
        </w:sectPr>
      </w:pPr>
    </w:p>
    <w:p w14:paraId="070E4E1E">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五、项目绩效目标</w:t>
      </w:r>
    </w:p>
    <w:p w14:paraId="135044C7">
      <w:pPr>
        <w:spacing w:before="157" w:beforeLines="50" w:after="157" w:afterLines="50" w:line="360" w:lineRule="auto"/>
        <w:ind w:firstLine="643"/>
        <w:outlineLvl w:val="1"/>
        <w:rPr>
          <w:rFonts w:hint="default" w:ascii="楷体_GB2312" w:hAnsi="Calibri" w:eastAsia="楷体_GB2312"/>
          <w:b/>
          <w:color w:val="auto"/>
          <w:sz w:val="32"/>
          <w:szCs w:val="32"/>
          <w:lang w:val="en-US" w:eastAsia="zh-Hans"/>
        </w:rPr>
      </w:pPr>
      <w:r>
        <w:rPr>
          <w:rFonts w:hint="eastAsia" w:ascii="楷体_GB2312" w:hAnsi="Calibri" w:eastAsia="楷体_GB2312"/>
          <w:b/>
          <w:color w:val="auto"/>
          <w:sz w:val="32"/>
          <w:szCs w:val="32"/>
        </w:rPr>
        <w:t>（一）</w:t>
      </w:r>
      <w:r>
        <w:rPr>
          <w:rFonts w:hint="eastAsia" w:ascii="楷体_GB2312" w:hAnsi="Calibri" w:eastAsia="楷体_GB2312"/>
          <w:b/>
          <w:color w:val="auto"/>
          <w:sz w:val="32"/>
          <w:szCs w:val="32"/>
          <w:lang w:val="en-US" w:eastAsia="zh-Hans"/>
        </w:rPr>
        <w:t>产出目标</w:t>
      </w:r>
    </w:p>
    <w:p w14:paraId="26E65C99">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lang w:val="en-US" w:eastAsia="zh-CN"/>
        </w:rPr>
      </w:pPr>
      <w:r>
        <w:rPr>
          <w:rFonts w:hint="eastAsia"/>
          <w:bCs/>
          <w:color w:val="auto"/>
          <w:lang w:val="en-US" w:eastAsia="zh-CN"/>
        </w:rPr>
        <w:t>数量目标：</w:t>
      </w:r>
      <w:r>
        <w:rPr>
          <w:rFonts w:hint="eastAsia"/>
          <w:bCs/>
          <w:color w:val="auto"/>
          <w:lang w:val="en-US" w:eastAsia="zh-Hans"/>
        </w:rPr>
        <w:t>为实验、研发、检测设备购置及安装，确保平台稳定运行。设备包括芯片研发与测试设备36套、电磁屏蔽与检测设备19套、分析设备14套、各类显微镜14套及其他各类电子信息智能制造及装备设备270套，将为电子信息技术产业的研发、测试、中试等环节筑牢坚实基础，助力平台在技术创新与成果转化上抢占先机。</w:t>
      </w:r>
    </w:p>
    <w:p w14:paraId="3F0CC72F">
      <w:pPr>
        <w:pageBreakBefore w:val="0"/>
        <w:kinsoku/>
        <w:wordWrap/>
        <w:overflowPunct/>
        <w:topLinePunct w:val="0"/>
        <w:autoSpaceDE/>
        <w:autoSpaceDN/>
        <w:bidi w:val="0"/>
        <w:adjustRightInd w:val="0"/>
        <w:snapToGrid w:val="0"/>
        <w:spacing w:line="360" w:lineRule="auto"/>
        <w:ind w:firstLine="480" w:firstLineChars="200"/>
        <w:rPr>
          <w:rFonts w:hint="default"/>
          <w:bCs/>
          <w:color w:val="auto"/>
          <w:lang w:val="en-US" w:eastAsia="zh-CN"/>
        </w:rPr>
      </w:pPr>
      <w:r>
        <w:rPr>
          <w:rFonts w:hint="eastAsia"/>
          <w:bCs/>
          <w:color w:val="auto"/>
          <w:lang w:val="en-US" w:eastAsia="zh-CN"/>
        </w:rPr>
        <w:t>质量目标：符合验收标准，达到行业基准水平。</w:t>
      </w:r>
    </w:p>
    <w:p w14:paraId="3B0F9A22">
      <w:pPr>
        <w:pageBreakBefore w:val="0"/>
        <w:kinsoku/>
        <w:wordWrap/>
        <w:overflowPunct/>
        <w:topLinePunct w:val="0"/>
        <w:autoSpaceDE/>
        <w:autoSpaceDN/>
        <w:bidi w:val="0"/>
        <w:adjustRightInd w:val="0"/>
        <w:snapToGrid w:val="0"/>
        <w:spacing w:line="360" w:lineRule="auto"/>
        <w:ind w:firstLine="480" w:firstLineChars="200"/>
        <w:rPr>
          <w:rFonts w:hint="default"/>
          <w:bCs/>
          <w:color w:val="auto"/>
          <w:lang w:val="en-US" w:eastAsia="zh-CN"/>
        </w:rPr>
      </w:pPr>
      <w:r>
        <w:rPr>
          <w:rFonts w:hint="eastAsia"/>
          <w:bCs/>
          <w:color w:val="auto"/>
          <w:lang w:val="en-US" w:eastAsia="zh-CN"/>
        </w:rPr>
        <w:t>时效目标：本项目建设期跨度3年，严格执行工程建设程序，合理有序的安排项目建设进度。</w:t>
      </w:r>
    </w:p>
    <w:p w14:paraId="04244145">
      <w:pPr>
        <w:pageBreakBefore w:val="0"/>
        <w:kinsoku/>
        <w:wordWrap/>
        <w:overflowPunct/>
        <w:topLinePunct w:val="0"/>
        <w:autoSpaceDE/>
        <w:autoSpaceDN/>
        <w:bidi w:val="0"/>
        <w:adjustRightInd w:val="0"/>
        <w:snapToGrid w:val="0"/>
        <w:spacing w:line="360" w:lineRule="auto"/>
        <w:ind w:firstLine="480" w:firstLineChars="200"/>
        <w:rPr>
          <w:rFonts w:hint="default"/>
          <w:bCs/>
          <w:color w:val="auto"/>
          <w:lang w:val="en-US" w:eastAsia="zh-CN"/>
        </w:rPr>
      </w:pPr>
      <w:r>
        <w:rPr>
          <w:rFonts w:hint="eastAsia"/>
          <w:bCs/>
          <w:color w:val="auto"/>
          <w:lang w:val="en-US" w:eastAsia="zh-CN"/>
        </w:rPr>
        <w:t>成本目标：项目总投资</w:t>
      </w:r>
      <w:r>
        <w:rPr>
          <w:rFonts w:hint="eastAsia" w:ascii="仿宋_GB2312" w:hAnsi="仿宋" w:cs="仿宋"/>
          <w:color w:val="auto"/>
        </w:rPr>
        <w:t>98,491.06</w:t>
      </w:r>
      <w:r>
        <w:rPr>
          <w:rFonts w:hint="eastAsia"/>
          <w:bCs/>
          <w:color w:val="auto"/>
          <w:lang w:val="en-US" w:eastAsia="zh-CN"/>
        </w:rPr>
        <w:t>万元。</w:t>
      </w:r>
    </w:p>
    <w:p w14:paraId="25AE434D">
      <w:pPr>
        <w:pageBreakBefore w:val="0"/>
        <w:kinsoku/>
        <w:wordWrap/>
        <w:overflowPunct/>
        <w:topLinePunct w:val="0"/>
        <w:autoSpaceDE/>
        <w:autoSpaceDN/>
        <w:bidi w:val="0"/>
        <w:adjustRightInd w:val="0"/>
        <w:snapToGrid w:val="0"/>
        <w:spacing w:before="10" w:after="217" w:afterLines="50" w:line="360" w:lineRule="auto"/>
        <w:ind w:firstLine="643" w:firstLineChars="200"/>
        <w:outlineLvl w:val="1"/>
        <w:rPr>
          <w:rFonts w:hint="default" w:eastAsia="楷体_GB2312"/>
          <w:color w:val="auto"/>
          <w:kern w:val="0"/>
          <w:lang w:val="en-US" w:eastAsia="zh-CN"/>
        </w:rPr>
      </w:pPr>
      <w:r>
        <w:rPr>
          <w:rFonts w:hint="eastAsia" w:ascii="楷体_GB2312" w:eastAsia="楷体_GB2312"/>
          <w:b/>
          <w:color w:val="auto"/>
          <w:sz w:val="32"/>
          <w:szCs w:val="32"/>
        </w:rPr>
        <w:t>（</w:t>
      </w:r>
      <w:r>
        <w:rPr>
          <w:rFonts w:hint="eastAsia" w:ascii="楷体_GB2312" w:eastAsia="楷体_GB2312"/>
          <w:b/>
          <w:color w:val="auto"/>
          <w:sz w:val="32"/>
          <w:szCs w:val="32"/>
          <w:lang w:val="en-US" w:eastAsia="zh-CN"/>
        </w:rPr>
        <w:t>二</w:t>
      </w:r>
      <w:r>
        <w:rPr>
          <w:rFonts w:hint="eastAsia" w:ascii="楷体_GB2312" w:eastAsia="楷体_GB2312"/>
          <w:b/>
          <w:color w:val="auto"/>
          <w:sz w:val="32"/>
          <w:szCs w:val="32"/>
        </w:rPr>
        <w:t>）</w:t>
      </w:r>
      <w:r>
        <w:rPr>
          <w:rFonts w:hint="eastAsia" w:ascii="楷体_GB2312" w:eastAsia="楷体_GB2312"/>
          <w:b/>
          <w:color w:val="auto"/>
          <w:sz w:val="32"/>
          <w:szCs w:val="32"/>
          <w:lang w:val="en-US" w:eastAsia="zh-CN"/>
        </w:rPr>
        <w:t>效益目标</w:t>
      </w:r>
    </w:p>
    <w:p w14:paraId="7E805A9A">
      <w:pPr>
        <w:pageBreakBefore w:val="0"/>
        <w:kinsoku/>
        <w:wordWrap/>
        <w:overflowPunct/>
        <w:topLinePunct w:val="0"/>
        <w:autoSpaceDE/>
        <w:autoSpaceDN/>
        <w:bidi w:val="0"/>
        <w:adjustRightInd w:val="0"/>
        <w:snapToGrid w:val="0"/>
        <w:spacing w:line="360" w:lineRule="auto"/>
        <w:ind w:firstLine="480" w:firstLineChars="200"/>
        <w:rPr>
          <w:rFonts w:hint="eastAsia"/>
          <w:color w:val="auto"/>
        </w:rPr>
      </w:pPr>
      <w:r>
        <w:rPr>
          <w:rFonts w:hint="eastAsia"/>
          <w:color w:val="auto"/>
          <w:kern w:val="0"/>
          <w:lang w:val="en-US" w:eastAsia="zh-CN"/>
        </w:rPr>
        <w:t>经济效益目标：</w:t>
      </w:r>
      <w:r>
        <w:rPr>
          <w:rFonts w:hint="eastAsia"/>
          <w:color w:val="auto"/>
        </w:rPr>
        <w:t>平台建成后，规划容纳100家企业（团队）入驻，预计年营收超5亿元。这些企业广泛分布于电子信息产业的各个关键环节，从芯片设计、制造，到智能终端产品生产等。随着入驻企业生产规模逐步扩张，产品销售额持续攀升，将为区域经济注入源源不断的活力，成为拉动区域GDP增长的重要力量。以已入驻的部分芯片制造企业为例，其先进的生产工艺与大规模生产能力，不仅满足了本地市场对芯片的需求，还将产品远销至全国各地，极大地提升了区域在电子信息产业领域的经济份额。</w:t>
      </w:r>
    </w:p>
    <w:p w14:paraId="7A37F092">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highlight w:val="none"/>
        </w:rPr>
      </w:pPr>
      <w:r>
        <w:rPr>
          <w:rFonts w:hint="eastAsia"/>
          <w:color w:val="auto"/>
        </w:rPr>
        <w:t>平台的发展如同强大的磁石，吸引了大量配套产业围绕其布局。周边的物流配送企业，为平台及入驻企业提供原材料运输、产品分发等服务，业务量随着平台的发展而迅速增长；餐饮、住宿等服务业也因平台带来的大量人流而蓬勃发展。这些配套产业的繁荣，进一步增加了区域的经济总量，形成了以平台为核心的经济增长辐射圈。</w:t>
      </w:r>
    </w:p>
    <w:p w14:paraId="5F7146DE">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highlight w:val="none"/>
        </w:rPr>
      </w:pPr>
      <w:r>
        <w:rPr>
          <w:rFonts w:hint="eastAsia"/>
          <w:bCs/>
          <w:color w:val="auto"/>
          <w:highlight w:val="none"/>
          <w:lang w:val="en-US" w:eastAsia="zh-CN"/>
        </w:rPr>
        <w:t>社会效益目标：</w:t>
      </w:r>
      <w:r>
        <w:rPr>
          <w:rFonts w:hint="eastAsia"/>
          <w:bCs/>
          <w:color w:val="auto"/>
          <w:highlight w:val="none"/>
        </w:rPr>
        <w:t>传统产业转型：在平台的带动下，传统电子信息产业迎来了升级改造的契机。传统的电子元器件生产企业，通过与平台合作，引入先进的生产工艺和技术，如采用智能化生产设备，提高生产效率和产品精度，降低生产成本；在产品研发方面，借助平台的科研资源，开发出具有更高附加值的新型电子元器件，提升了产品在市场中的竞争力，实现了从传统粗放型生产向高端、智能化生产的转变。​</w:t>
      </w:r>
    </w:p>
    <w:p w14:paraId="7A075E67">
      <w:pPr>
        <w:pageBreakBefore w:val="0"/>
        <w:kinsoku/>
        <w:wordWrap/>
        <w:overflowPunct/>
        <w:topLinePunct w:val="0"/>
        <w:autoSpaceDE/>
        <w:autoSpaceDN/>
        <w:bidi w:val="0"/>
        <w:adjustRightInd w:val="0"/>
        <w:snapToGrid w:val="0"/>
        <w:spacing w:line="360" w:lineRule="auto"/>
        <w:ind w:firstLine="480" w:firstLineChars="200"/>
        <w:rPr>
          <w:rFonts w:hint="eastAsia"/>
          <w:bCs/>
          <w:color w:val="auto"/>
          <w:highlight w:val="none"/>
        </w:rPr>
      </w:pPr>
      <w:r>
        <w:rPr>
          <w:rFonts w:hint="eastAsia"/>
          <w:bCs/>
          <w:color w:val="auto"/>
          <w:highlight w:val="none"/>
        </w:rPr>
        <w:t>新兴产业培育：平台聚焦电子信息、智能制造和未来产业，积极培育和发展新兴产业。在人工智能领域，平台支持企业开展人工智能算法研究、智能芯片开发以及人工智能在各行业的应用探索，推动人工智能技术与实体经济深度融合；在量子信息领域，鼓励科研团队进行量子通信、量子计算等前沿技术的研究与开发，为未来产业发展奠定基础。这些新兴产业的崛起，将改变川渝地区现有的产业结构，使其更加多元化、高端化，增强区域经济发展的后劲。</w:t>
      </w:r>
    </w:p>
    <w:p w14:paraId="1630A1EB">
      <w:pPr>
        <w:pageBreakBefore w:val="0"/>
        <w:kinsoku/>
        <w:wordWrap/>
        <w:overflowPunct/>
        <w:topLinePunct w:val="0"/>
        <w:autoSpaceDE/>
        <w:autoSpaceDN/>
        <w:bidi w:val="0"/>
        <w:adjustRightInd w:val="0"/>
        <w:snapToGrid w:val="0"/>
        <w:spacing w:line="360" w:lineRule="auto"/>
        <w:ind w:firstLine="480" w:firstLineChars="200"/>
        <w:rPr>
          <w:rFonts w:hint="eastAsia" w:eastAsia="仿宋"/>
          <w:color w:val="auto"/>
          <w:lang w:eastAsia="zh-CN"/>
        </w:rPr>
      </w:pPr>
      <w:r>
        <w:rPr>
          <w:rFonts w:hint="eastAsia"/>
          <w:bCs/>
          <w:color w:val="auto"/>
          <w:highlight w:val="none"/>
          <w:lang w:val="en-US" w:eastAsia="zh-CN"/>
        </w:rPr>
        <w:t>可持续影响目标：</w:t>
      </w:r>
      <w:r>
        <w:rPr>
          <w:color w:val="auto"/>
        </w:rPr>
        <w:t>维护社会安定团结，提升城市环境吸引力，赢得更多的发展机遇</w:t>
      </w:r>
      <w:r>
        <w:rPr>
          <w:rFonts w:hint="eastAsia"/>
          <w:color w:val="auto"/>
          <w:lang w:eastAsia="zh-CN"/>
        </w:rPr>
        <w:t>。</w:t>
      </w:r>
    </w:p>
    <w:p w14:paraId="271ADCF2">
      <w:pPr>
        <w:spacing w:before="10" w:after="217" w:afterLines="50" w:line="360" w:lineRule="auto"/>
        <w:ind w:firstLine="643" w:firstLineChars="200"/>
        <w:outlineLvl w:val="1"/>
        <w:rPr>
          <w:rFonts w:hint="eastAsia"/>
          <w:color w:val="auto"/>
          <w:lang w:val="en-US" w:eastAsia="zh-CN"/>
        </w:rPr>
      </w:pPr>
      <w:r>
        <w:rPr>
          <w:rFonts w:hint="eastAsia" w:ascii="楷体_GB2312" w:eastAsia="楷体_GB2312"/>
          <w:b/>
          <w:color w:val="auto"/>
          <w:sz w:val="32"/>
          <w:szCs w:val="32"/>
        </w:rPr>
        <w:t>（</w:t>
      </w:r>
      <w:r>
        <w:rPr>
          <w:rFonts w:hint="eastAsia" w:ascii="楷体_GB2312" w:eastAsia="楷体_GB2312"/>
          <w:b/>
          <w:color w:val="auto"/>
          <w:sz w:val="32"/>
          <w:szCs w:val="32"/>
          <w:lang w:val="en-US" w:eastAsia="zh-Hans"/>
        </w:rPr>
        <w:t>三</w:t>
      </w:r>
      <w:r>
        <w:rPr>
          <w:rFonts w:hint="eastAsia" w:ascii="楷体_GB2312" w:eastAsia="楷体_GB2312"/>
          <w:b/>
          <w:color w:val="auto"/>
          <w:sz w:val="32"/>
          <w:szCs w:val="32"/>
        </w:rPr>
        <w:t>）</w:t>
      </w:r>
      <w:r>
        <w:rPr>
          <w:rFonts w:hint="eastAsia" w:ascii="楷体_GB2312" w:eastAsia="楷体_GB2312"/>
          <w:b/>
          <w:color w:val="auto"/>
          <w:sz w:val="32"/>
          <w:szCs w:val="32"/>
          <w:lang w:val="en-US" w:eastAsia="zh-Hans"/>
        </w:rPr>
        <w:t>满意度</w:t>
      </w:r>
      <w:r>
        <w:rPr>
          <w:rFonts w:hint="eastAsia" w:ascii="楷体_GB2312" w:eastAsia="楷体_GB2312"/>
          <w:b/>
          <w:color w:val="auto"/>
          <w:sz w:val="32"/>
          <w:szCs w:val="32"/>
          <w:lang w:val="en-US" w:eastAsia="zh-CN"/>
        </w:rPr>
        <w:t>目标</w:t>
      </w:r>
    </w:p>
    <w:p w14:paraId="57C79C6B">
      <w:pPr>
        <w:pageBreakBefore w:val="0"/>
        <w:kinsoku/>
        <w:wordWrap/>
        <w:overflowPunct/>
        <w:topLinePunct w:val="0"/>
        <w:autoSpaceDE/>
        <w:autoSpaceDN/>
        <w:bidi w:val="0"/>
        <w:adjustRightInd w:val="0"/>
        <w:snapToGrid w:val="0"/>
        <w:spacing w:after="0" w:line="360" w:lineRule="auto"/>
        <w:ind w:firstLine="480" w:firstLineChars="200"/>
        <w:rPr>
          <w:rFonts w:hint="eastAsia" w:ascii="仿宋" w:hAnsi="仿宋"/>
          <w:bCs/>
          <w:color w:val="auto"/>
          <w:lang w:val="en-US" w:eastAsia="zh-CN"/>
        </w:rPr>
      </w:pPr>
      <w:r>
        <w:rPr>
          <w:rFonts w:hint="eastAsia" w:ascii="仿宋" w:hAnsi="仿宋"/>
          <w:bCs/>
          <w:color w:val="auto"/>
          <w:lang w:val="en-US" w:eastAsia="zh-CN"/>
        </w:rPr>
        <w:t>服务对象满意度目标：通过问卷调查等手段，获取满意度达到“良好/满意/80分”及以上。</w:t>
      </w:r>
    </w:p>
    <w:p w14:paraId="2E2D7267">
      <w:pPr>
        <w:spacing w:line="560" w:lineRule="exact"/>
        <w:ind w:firstLine="640"/>
        <w:rPr>
          <w:rFonts w:hint="eastAsia" w:ascii="黑体" w:hAnsi="黑体" w:eastAsia="黑体"/>
          <w:color w:val="auto"/>
          <w:sz w:val="32"/>
          <w:szCs w:val="32"/>
        </w:rPr>
      </w:pPr>
    </w:p>
    <w:p w14:paraId="4C655EC7">
      <w:pPr>
        <w:spacing w:line="560" w:lineRule="exact"/>
        <w:ind w:firstLine="640"/>
        <w:rPr>
          <w:rFonts w:hint="eastAsia" w:ascii="黑体" w:hAnsi="黑体" w:eastAsia="黑体"/>
          <w:color w:val="auto"/>
          <w:sz w:val="32"/>
          <w:szCs w:val="32"/>
        </w:rPr>
      </w:pPr>
    </w:p>
    <w:p w14:paraId="0E0170F0">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六、潜在影响项目的风险评估</w:t>
      </w:r>
    </w:p>
    <w:p w14:paraId="3F08CE85">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（一）影响项目施工进度或正常运营的风险及控制措施</w:t>
      </w:r>
    </w:p>
    <w:p w14:paraId="02DE0AD0">
      <w:pPr>
        <w:ind w:firstLine="480"/>
        <w:rPr>
          <w:color w:val="auto"/>
        </w:rPr>
      </w:pPr>
      <w:r>
        <w:rPr>
          <w:rFonts w:hint="eastAsia"/>
          <w:color w:val="auto"/>
        </w:rPr>
        <w:t>对于不可抗力风险、施工方的风险、设计单位的风险、供应商的风险、资金落实风险、工程事故风险等影响施工进度或正常运营的风险，项目相关机构将采取对地块所处自然环境进行充分论证；选取有相应资质、业绩良好、经验丰富的施工单位；对供应商的资质、商业信誉和财务会计制度进行严格审查；做好现场的安全管理工作等措施予以控制。</w:t>
      </w:r>
    </w:p>
    <w:p w14:paraId="32454109">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（二）影响项目收益的风险及控制措施</w:t>
      </w:r>
    </w:p>
    <w:p w14:paraId="0087D7B2">
      <w:pPr>
        <w:ind w:firstLine="480"/>
        <w:rPr>
          <w:color w:val="auto"/>
        </w:rPr>
      </w:pPr>
      <w:r>
        <w:rPr>
          <w:rFonts w:hint="eastAsia"/>
          <w:color w:val="auto"/>
        </w:rPr>
        <w:t>对于经营风险、财务风险等影响项目收益的风险，项目相关机构将全面分析国家项目相关的政策、法律、制度的发展变化；设立项目资金管理专户等措施予以控制。</w:t>
      </w:r>
    </w:p>
    <w:p w14:paraId="2946FD8D">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（三）影响融资平衡结果的风险及控制措施</w:t>
      </w:r>
    </w:p>
    <w:p w14:paraId="738D163B">
      <w:pPr>
        <w:ind w:firstLine="480"/>
        <w:rPr>
          <w:rFonts w:hint="eastAsia"/>
          <w:color w:val="auto"/>
        </w:rPr>
      </w:pPr>
      <w:r>
        <w:rPr>
          <w:rFonts w:hint="eastAsia"/>
          <w:color w:val="auto"/>
        </w:rPr>
        <w:t>对于投资测算不准确风险、利率波动风险等影响项目收益的风险，项目相关机构将采取根据稳健性原则适当计入一定比例的不可预见费；定期对估算投资进行审核验证、调整；做好现金流监测，充分利用资金、做好还款计划和还款准备等措施予以控制。</w:t>
      </w:r>
    </w:p>
    <w:p w14:paraId="394514EC">
      <w:pPr>
        <w:pStyle w:val="13"/>
        <w:rPr>
          <w:color w:val="auto"/>
        </w:rPr>
      </w:pPr>
    </w:p>
    <w:p w14:paraId="775A76A1">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七、还款保障情况</w:t>
      </w:r>
    </w:p>
    <w:p w14:paraId="4F27A898">
      <w:pPr>
        <w:ind w:firstLine="480"/>
        <w:rPr>
          <w:rFonts w:hint="eastAsia"/>
          <w:color w:val="auto"/>
          <w:lang w:val="zh-CN"/>
        </w:rPr>
      </w:pPr>
      <w:r>
        <w:rPr>
          <w:rFonts w:hint="eastAsia"/>
          <w:color w:val="auto"/>
          <w:lang w:val="zh-CN"/>
        </w:rPr>
        <w:t>按照《国务院办公厅关于印发地方政府性债务风险应急处置预案的通知》（国办函〔</w:t>
      </w:r>
      <w:r>
        <w:rPr>
          <w:color w:val="auto"/>
          <w:lang w:val="zh-CN"/>
        </w:rPr>
        <w:t>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w:t>
      </w:r>
      <w:r>
        <w:rPr>
          <w:rFonts w:hint="eastAsia"/>
          <w:color w:val="auto"/>
          <w:lang w:val="zh-CN"/>
        </w:rPr>
        <w:t>扣回。</w:t>
      </w:r>
    </w:p>
    <w:p w14:paraId="14DDFBF3">
      <w:pPr>
        <w:pStyle w:val="13"/>
        <w:rPr>
          <w:color w:val="auto"/>
          <w:lang w:val="zh-CN"/>
        </w:rPr>
      </w:pPr>
    </w:p>
    <w:p w14:paraId="3401E617">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八、主管部门职责和项目单位职责</w:t>
      </w:r>
    </w:p>
    <w:p w14:paraId="0CF84ED0">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（一）主管部门职责</w:t>
      </w:r>
    </w:p>
    <w:p w14:paraId="7EB99B03">
      <w:pPr>
        <w:ind w:firstLine="480"/>
        <w:rPr>
          <w:color w:val="auto"/>
        </w:rPr>
      </w:pPr>
      <w:r>
        <w:rPr>
          <w:rFonts w:hint="eastAsia"/>
          <w:color w:val="auto"/>
        </w:rPr>
        <w:t>本项目的主管部门是</w:t>
      </w:r>
      <w:r>
        <w:rPr>
          <w:rFonts w:hint="eastAsia"/>
          <w:color w:val="auto"/>
          <w:lang w:eastAsia="zh-CN"/>
        </w:rPr>
        <w:t>内江高新区科技创新局</w:t>
      </w:r>
      <w:r>
        <w:rPr>
          <w:rFonts w:hint="eastAsia"/>
          <w:color w:val="auto"/>
        </w:rPr>
        <w:t>，其职责为：</w:t>
      </w:r>
    </w:p>
    <w:p w14:paraId="057AC6F7">
      <w:pPr>
        <w:ind w:firstLine="480"/>
        <w:rPr>
          <w:color w:val="auto"/>
        </w:rPr>
      </w:pPr>
      <w:r>
        <w:rPr>
          <w:rFonts w:hint="eastAsia"/>
          <w:color w:val="auto"/>
        </w:rPr>
        <w:t>1</w:t>
      </w:r>
      <w:r>
        <w:rPr>
          <w:color w:val="auto"/>
        </w:rPr>
        <w:t>.</w:t>
      </w:r>
      <w:r>
        <w:rPr>
          <w:rFonts w:hint="eastAsia"/>
          <w:color w:val="auto"/>
        </w:rPr>
        <w:t>认真履行项目建设、运营和维护责任，确保项目如期建设、如期投入运营，早日实现持续稳定的收益。</w:t>
      </w:r>
    </w:p>
    <w:p w14:paraId="743ED0D4">
      <w:pPr>
        <w:ind w:firstLine="480"/>
        <w:rPr>
          <w:color w:val="auto"/>
        </w:rPr>
      </w:pPr>
      <w:r>
        <w:rPr>
          <w:rFonts w:hint="eastAsia"/>
          <w:color w:val="auto"/>
        </w:rPr>
        <w:t>2</w:t>
      </w:r>
      <w:r>
        <w:rPr>
          <w:color w:val="auto"/>
        </w:rPr>
        <w:t>.</w:t>
      </w:r>
      <w:r>
        <w:rPr>
          <w:rFonts w:hint="eastAsia"/>
          <w:color w:val="auto"/>
        </w:rPr>
        <w:t>监督指导建设运营主体规范使用本专项债券资金，对发现的违法违规资金使用进行严肃处理和责任追究。</w:t>
      </w:r>
    </w:p>
    <w:p w14:paraId="61FCA3A7">
      <w:pPr>
        <w:ind w:firstLine="480"/>
        <w:rPr>
          <w:color w:val="auto"/>
        </w:rPr>
      </w:pPr>
      <w:r>
        <w:rPr>
          <w:rFonts w:hint="eastAsia"/>
          <w:color w:val="auto"/>
        </w:rPr>
        <w:t>3</w:t>
      </w:r>
      <w:r>
        <w:rPr>
          <w:color w:val="auto"/>
        </w:rPr>
        <w:t>.</w:t>
      </w:r>
      <w:r>
        <w:rPr>
          <w:rFonts w:hint="eastAsia"/>
          <w:color w:val="auto"/>
        </w:rPr>
        <w:t>配合做好债券对应项目形成资产的登记管理工作，做好日常统计和动态监控；确保项目资产独立性和确认资产权益归属，严禁专项债券对应资产和权益用于为融资平台公司等企业融资提供担保和抵押，不对专项债券对应项目资产进行转移和划拨注入企业。</w:t>
      </w:r>
    </w:p>
    <w:p w14:paraId="5666F1CC">
      <w:pPr>
        <w:ind w:firstLine="480"/>
        <w:rPr>
          <w:color w:val="auto"/>
        </w:rPr>
      </w:pPr>
      <w:r>
        <w:rPr>
          <w:rFonts w:hint="eastAsia"/>
          <w:color w:val="auto"/>
        </w:rPr>
        <w:t>4</w:t>
      </w:r>
      <w:r>
        <w:rPr>
          <w:color w:val="auto"/>
        </w:rPr>
        <w:t>.</w:t>
      </w:r>
      <w:r>
        <w:rPr>
          <w:rFonts w:hint="eastAsia"/>
          <w:color w:val="auto"/>
        </w:rPr>
        <w:t>在门户网站等及时披露专项债券对应的项目概况、项目预期收益和融资平衡方案、专项债券规模和期限、发行计划安排、还本付息等信息。</w:t>
      </w:r>
    </w:p>
    <w:p w14:paraId="36526D24">
      <w:pPr>
        <w:spacing w:line="560" w:lineRule="exact"/>
        <w:ind w:firstLine="643"/>
        <w:rPr>
          <w:rFonts w:ascii="楷体_GB2312" w:hAnsi="Calibri" w:eastAsia="楷体_GB2312"/>
          <w:b/>
          <w:color w:val="auto"/>
          <w:sz w:val="32"/>
          <w:szCs w:val="32"/>
        </w:rPr>
      </w:pPr>
      <w:r>
        <w:rPr>
          <w:rFonts w:hint="eastAsia" w:ascii="楷体_GB2312" w:hAnsi="Calibri" w:eastAsia="楷体_GB2312"/>
          <w:b/>
          <w:color w:val="auto"/>
          <w:sz w:val="32"/>
          <w:szCs w:val="32"/>
        </w:rPr>
        <w:t>（二）项目单位职责</w:t>
      </w:r>
    </w:p>
    <w:p w14:paraId="457C9158">
      <w:pPr>
        <w:ind w:firstLine="480"/>
        <w:rPr>
          <w:color w:val="auto"/>
        </w:rPr>
      </w:pPr>
      <w:r>
        <w:rPr>
          <w:rFonts w:hint="eastAsia"/>
          <w:color w:val="auto"/>
        </w:rPr>
        <w:t>本项目的业主单位是内江高新科技投资服务有限责任公司（系四川研跃科技有限责任公司控股母公司），其职责为：</w:t>
      </w:r>
    </w:p>
    <w:p w14:paraId="7A0DA5A8">
      <w:pPr>
        <w:ind w:firstLine="480"/>
        <w:rPr>
          <w:color w:val="auto"/>
        </w:rPr>
      </w:pPr>
      <w:r>
        <w:rPr>
          <w:color w:val="auto"/>
        </w:rPr>
        <w:t>1.提出专项债券项目需求申请，编制报送项目实施方案及相关资料，配合做好债券发行准备。</w:t>
      </w:r>
    </w:p>
    <w:p w14:paraId="235401C5">
      <w:pPr>
        <w:ind w:firstLine="480"/>
        <w:rPr>
          <w:color w:val="auto"/>
        </w:rPr>
      </w:pPr>
      <w:r>
        <w:rPr>
          <w:color w:val="auto"/>
        </w:rPr>
        <w:t>2.规范使用债券资金，及时形成支出，提高资金使用效益。</w:t>
      </w:r>
    </w:p>
    <w:p w14:paraId="2628512B">
      <w:pPr>
        <w:ind w:firstLine="480"/>
        <w:rPr>
          <w:color w:val="auto"/>
        </w:rPr>
      </w:pPr>
      <w:r>
        <w:rPr>
          <w:color w:val="auto"/>
        </w:rPr>
        <w:t>3.定期评估项目成本、预期收益和对应资产价值等，发现风险或异常情况及时向主管部门报告。</w:t>
      </w:r>
    </w:p>
    <w:p w14:paraId="7F104F7E">
      <w:pPr>
        <w:ind w:firstLine="480"/>
        <w:rPr>
          <w:color w:val="auto"/>
        </w:rPr>
      </w:pPr>
      <w:r>
        <w:rPr>
          <w:color w:val="auto"/>
        </w:rPr>
        <w:t>4.向上级部门总结汇报项目实施情况，贯彻落实上级指示要求；研究解决项目实施中的其他重大问题。</w:t>
      </w:r>
    </w:p>
    <w:p w14:paraId="4E1DDFD7">
      <w:pPr>
        <w:spacing w:line="560" w:lineRule="exact"/>
        <w:ind w:firstLine="640"/>
        <w:rPr>
          <w:rFonts w:ascii="黑体" w:hAnsi="黑体" w:eastAsia="黑体"/>
          <w:color w:val="auto"/>
          <w:sz w:val="32"/>
          <w:szCs w:val="32"/>
        </w:rPr>
      </w:pPr>
      <w:r>
        <w:rPr>
          <w:rFonts w:hint="eastAsia" w:ascii="黑体" w:hAnsi="黑体" w:eastAsia="黑体"/>
          <w:color w:val="auto"/>
          <w:sz w:val="32"/>
          <w:szCs w:val="32"/>
        </w:rPr>
        <w:t>九、补充说明</w:t>
      </w:r>
    </w:p>
    <w:bookmarkEnd w:id="2"/>
    <w:p w14:paraId="4C2E6AF3">
      <w:pPr>
        <w:ind w:firstLine="480"/>
        <w:rPr>
          <w:color w:val="auto"/>
        </w:rPr>
      </w:pPr>
      <w:r>
        <w:rPr>
          <w:rFonts w:hint="eastAsia"/>
          <w:color w:val="auto"/>
        </w:rPr>
        <w:t>此项目债券资金总需求</w:t>
      </w:r>
      <w:r>
        <w:rPr>
          <w:rFonts w:hint="eastAsia"/>
          <w:color w:val="auto"/>
          <w:lang w:val="en-US" w:eastAsia="zh-CN"/>
        </w:rPr>
        <w:t>75</w:t>
      </w:r>
      <w:r>
        <w:rPr>
          <w:rFonts w:hint="eastAsia"/>
          <w:color w:val="auto"/>
        </w:rPr>
        <w:t>000.00万元，根据地方政府债务限额管理要求和项目实施进展情况，截止到2026年2月已发行11</w:t>
      </w:r>
      <w:r>
        <w:rPr>
          <w:rFonts w:hint="eastAsia"/>
          <w:color w:val="auto"/>
          <w:lang w:val="en-US" w:eastAsia="zh-CN"/>
        </w:rPr>
        <w:t>1</w:t>
      </w:r>
      <w:r>
        <w:rPr>
          <w:rFonts w:hint="eastAsia"/>
          <w:color w:val="auto"/>
        </w:rPr>
        <w:t>00.00万元</w:t>
      </w:r>
      <w:r>
        <w:rPr>
          <w:rFonts w:hint="eastAsia"/>
          <w:color w:val="auto"/>
          <w:lang w:eastAsia="zh-CN"/>
        </w:rPr>
        <w:t>。</w:t>
      </w:r>
      <w:r>
        <w:rPr>
          <w:rFonts w:hint="eastAsia"/>
          <w:color w:val="auto"/>
        </w:rPr>
        <w:t>根据发行计划及额度安排</w:t>
      </w:r>
      <w:r>
        <w:rPr>
          <w:color w:val="auto"/>
        </w:rPr>
        <w:t>,此项目202</w:t>
      </w:r>
      <w:r>
        <w:rPr>
          <w:rFonts w:hint="eastAsia"/>
          <w:color w:val="auto"/>
          <w:lang w:val="en-US" w:eastAsia="zh-CN"/>
        </w:rPr>
        <w:t>6</w:t>
      </w:r>
      <w:r>
        <w:rPr>
          <w:color w:val="auto"/>
        </w:rPr>
        <w:t>年拟</w:t>
      </w:r>
      <w:r>
        <w:rPr>
          <w:rFonts w:hint="eastAsia"/>
          <w:color w:val="auto"/>
          <w:lang w:eastAsia="zh-CN"/>
        </w:rPr>
        <w:t>申报发行需求</w:t>
      </w:r>
      <w:r>
        <w:rPr>
          <w:rFonts w:hint="eastAsia"/>
          <w:color w:val="auto"/>
          <w:lang w:val="en-US" w:eastAsia="zh-CN"/>
        </w:rPr>
        <w:t>39900</w:t>
      </w:r>
      <w:r>
        <w:rPr>
          <w:rFonts w:hint="eastAsia"/>
          <w:color w:val="auto"/>
        </w:rPr>
        <w:t>.00</w:t>
      </w:r>
      <w:r>
        <w:rPr>
          <w:color w:val="auto"/>
        </w:rPr>
        <w:t>万元，本次拟</w:t>
      </w:r>
      <w:r>
        <w:rPr>
          <w:rFonts w:hint="eastAsia"/>
          <w:color w:val="auto"/>
          <w:lang w:eastAsia="zh-CN"/>
        </w:rPr>
        <w:t>承接2021年四川省城乡基础设施建设专项债券（五期）-2021年四川省政府专项债券（七期）调整资金</w:t>
      </w:r>
      <w:r>
        <w:rPr>
          <w:rFonts w:hint="eastAsia"/>
          <w:color w:val="auto"/>
          <w:lang w:val="en-US" w:eastAsia="zh-CN"/>
        </w:rPr>
        <w:t>2400</w:t>
      </w:r>
      <w:bookmarkStart w:id="3" w:name="_GoBack"/>
      <w:bookmarkEnd w:id="3"/>
      <w:r>
        <w:rPr>
          <w:rFonts w:hint="eastAsia"/>
          <w:color w:val="auto"/>
          <w:lang w:val="en-US" w:eastAsia="zh-CN"/>
        </w:rPr>
        <w:t>.00</w:t>
      </w:r>
      <w:r>
        <w:rPr>
          <w:color w:val="auto"/>
        </w:rPr>
        <w:t>万元，期限</w:t>
      </w:r>
      <w:r>
        <w:rPr>
          <w:rFonts w:hint="eastAsia"/>
          <w:color w:val="auto"/>
          <w:lang w:val="en-US" w:eastAsia="zh-CN"/>
        </w:rPr>
        <w:t>20</w:t>
      </w:r>
      <w:r>
        <w:rPr>
          <w:color w:val="auto"/>
        </w:rPr>
        <w:t>年。</w:t>
      </w:r>
      <w:r>
        <w:rPr>
          <w:rFonts w:hint="eastAsia"/>
          <w:color w:val="auto"/>
        </w:rPr>
        <w:t>该项目实施内容及收益来源未发生变动，在不超过项目债券总需求情况下，债券分批次跨年发行对项目整体融资平衡不构成实质影响。"</w:t>
      </w:r>
    </w:p>
    <w:p w14:paraId="31E8B778">
      <w:pPr>
        <w:ind w:firstLine="480"/>
        <w:rPr>
          <w:color w:val="auto"/>
          <w:highlight w:val="none"/>
        </w:rPr>
      </w:pPr>
    </w:p>
    <w:p w14:paraId="7876C95E">
      <w:pPr>
        <w:ind w:firstLine="480"/>
        <w:rPr>
          <w:rFonts w:hint="eastAsia" w:eastAsia="仿宋"/>
          <w:color w:val="auto"/>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E1A61C-7D14-4D92-86F4-270FEFDD40C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A46932F-A7A7-48F8-B496-CE32433D9127}"/>
  </w:font>
  <w:font w:name="仿宋">
    <w:panose1 w:val="02010609060101010101"/>
    <w:charset w:val="86"/>
    <w:family w:val="modern"/>
    <w:pitch w:val="default"/>
    <w:sig w:usb0="800002BF" w:usb1="38CF7CFA" w:usb2="00000016" w:usb3="00000000" w:csb0="00040001" w:csb1="00000000"/>
    <w:embedRegular r:id="rId3" w:fontKey="{D9C8D1B4-CE22-4B8C-8A9A-6E558F3906E2}"/>
  </w:font>
  <w:font w:name="楷体_GB2312">
    <w:altName w:val="楷体"/>
    <w:panose1 w:val="00000000000000000000"/>
    <w:charset w:val="86"/>
    <w:family w:val="modern"/>
    <w:pitch w:val="default"/>
    <w:sig w:usb0="00000000" w:usb1="00000000" w:usb2="00000010" w:usb3="00000000" w:csb0="00040000" w:csb1="00000000"/>
    <w:embedRegular r:id="rId4" w:fontKey="{DEE8CC82-D253-49C1-9E14-C6C8CD52AA82}"/>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embedRegular r:id="rId5" w:fontKey="{C5807808-65EA-4944-A9E8-01DCFB0D5CDC}"/>
  </w:font>
  <w:font w:name="方正小标宋简体">
    <w:panose1 w:val="02010601030101010101"/>
    <w:charset w:val="86"/>
    <w:family w:val="auto"/>
    <w:pitch w:val="default"/>
    <w:sig w:usb0="00000001" w:usb1="080E0000" w:usb2="00000000" w:usb3="00000000" w:csb0="00040000"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D67BE">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EB4AA">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24DE7">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CDFB2">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0D7D5">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B688B">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YTE5NGUwZTgzMmJhMGQxMmEzN2JjZjE5MzUzM2QifQ=="/>
  </w:docVars>
  <w:rsids>
    <w:rsidRoot w:val="00511187"/>
    <w:rsid w:val="00043975"/>
    <w:rsid w:val="000A65E8"/>
    <w:rsid w:val="000B29E5"/>
    <w:rsid w:val="000C0B8B"/>
    <w:rsid w:val="00120219"/>
    <w:rsid w:val="001206A9"/>
    <w:rsid w:val="00123FE8"/>
    <w:rsid w:val="001C7F88"/>
    <w:rsid w:val="002012C5"/>
    <w:rsid w:val="002729D2"/>
    <w:rsid w:val="00274E56"/>
    <w:rsid w:val="002A6411"/>
    <w:rsid w:val="002E3649"/>
    <w:rsid w:val="00312739"/>
    <w:rsid w:val="0031331F"/>
    <w:rsid w:val="00331FD0"/>
    <w:rsid w:val="00374629"/>
    <w:rsid w:val="00374D6A"/>
    <w:rsid w:val="003C421E"/>
    <w:rsid w:val="003C7CC3"/>
    <w:rsid w:val="003D7D79"/>
    <w:rsid w:val="00401F8C"/>
    <w:rsid w:val="004257C2"/>
    <w:rsid w:val="0049076A"/>
    <w:rsid w:val="004B190A"/>
    <w:rsid w:val="004B5CEC"/>
    <w:rsid w:val="004D1630"/>
    <w:rsid w:val="004D2345"/>
    <w:rsid w:val="00511187"/>
    <w:rsid w:val="0052526C"/>
    <w:rsid w:val="00567C25"/>
    <w:rsid w:val="00570174"/>
    <w:rsid w:val="005C58CA"/>
    <w:rsid w:val="005D2888"/>
    <w:rsid w:val="005E10DC"/>
    <w:rsid w:val="005F3057"/>
    <w:rsid w:val="00614B0B"/>
    <w:rsid w:val="00615028"/>
    <w:rsid w:val="00622204"/>
    <w:rsid w:val="006E6AA2"/>
    <w:rsid w:val="00723816"/>
    <w:rsid w:val="007676AB"/>
    <w:rsid w:val="007B6674"/>
    <w:rsid w:val="0081477F"/>
    <w:rsid w:val="00826303"/>
    <w:rsid w:val="008820AF"/>
    <w:rsid w:val="008C36B2"/>
    <w:rsid w:val="008F0FA3"/>
    <w:rsid w:val="00916B43"/>
    <w:rsid w:val="0093189A"/>
    <w:rsid w:val="00995942"/>
    <w:rsid w:val="009A6AEE"/>
    <w:rsid w:val="009B1077"/>
    <w:rsid w:val="009B3F55"/>
    <w:rsid w:val="00A804BE"/>
    <w:rsid w:val="00AB4F6E"/>
    <w:rsid w:val="00AB5163"/>
    <w:rsid w:val="00AF5F9F"/>
    <w:rsid w:val="00AF6C07"/>
    <w:rsid w:val="00B543D8"/>
    <w:rsid w:val="00B70CCC"/>
    <w:rsid w:val="00B86133"/>
    <w:rsid w:val="00BA785D"/>
    <w:rsid w:val="00BB73A5"/>
    <w:rsid w:val="00BC43D9"/>
    <w:rsid w:val="00BE1F42"/>
    <w:rsid w:val="00BE2F03"/>
    <w:rsid w:val="00C573EA"/>
    <w:rsid w:val="00C87C46"/>
    <w:rsid w:val="00CB2856"/>
    <w:rsid w:val="00CB70FF"/>
    <w:rsid w:val="00D15A74"/>
    <w:rsid w:val="00D21F92"/>
    <w:rsid w:val="00D67EAF"/>
    <w:rsid w:val="00DF0C98"/>
    <w:rsid w:val="00E03246"/>
    <w:rsid w:val="00E32881"/>
    <w:rsid w:val="00E52722"/>
    <w:rsid w:val="00E53CF2"/>
    <w:rsid w:val="00EA0719"/>
    <w:rsid w:val="00EA1B05"/>
    <w:rsid w:val="00EA3402"/>
    <w:rsid w:val="00EF6843"/>
    <w:rsid w:val="00EF7DF3"/>
    <w:rsid w:val="00F17B2C"/>
    <w:rsid w:val="00F614DA"/>
    <w:rsid w:val="00F62E2E"/>
    <w:rsid w:val="00F67CF9"/>
    <w:rsid w:val="00F85E3A"/>
    <w:rsid w:val="00F91DA4"/>
    <w:rsid w:val="00F949F3"/>
    <w:rsid w:val="00FB6832"/>
    <w:rsid w:val="00FC6E4C"/>
    <w:rsid w:val="00FD2A48"/>
    <w:rsid w:val="00FD5D0D"/>
    <w:rsid w:val="00FE67E4"/>
    <w:rsid w:val="02146F14"/>
    <w:rsid w:val="09137598"/>
    <w:rsid w:val="0DE86885"/>
    <w:rsid w:val="103565DA"/>
    <w:rsid w:val="14642729"/>
    <w:rsid w:val="16BE5DC2"/>
    <w:rsid w:val="17625D82"/>
    <w:rsid w:val="207612CA"/>
    <w:rsid w:val="27D141D9"/>
    <w:rsid w:val="28D97CC7"/>
    <w:rsid w:val="2F0047A0"/>
    <w:rsid w:val="2FFD58B8"/>
    <w:rsid w:val="32A844EE"/>
    <w:rsid w:val="3A1B1FA5"/>
    <w:rsid w:val="3E7E3A38"/>
    <w:rsid w:val="3FFD8044"/>
    <w:rsid w:val="442F6127"/>
    <w:rsid w:val="47DD3A81"/>
    <w:rsid w:val="4E3620D3"/>
    <w:rsid w:val="4EC613D9"/>
    <w:rsid w:val="4F96610D"/>
    <w:rsid w:val="4F9C5928"/>
    <w:rsid w:val="532F7F75"/>
    <w:rsid w:val="533A01B6"/>
    <w:rsid w:val="5C074916"/>
    <w:rsid w:val="600F439D"/>
    <w:rsid w:val="6171268A"/>
    <w:rsid w:val="63E65214"/>
    <w:rsid w:val="68237C7D"/>
    <w:rsid w:val="68512102"/>
    <w:rsid w:val="6B672B45"/>
    <w:rsid w:val="6C1B518B"/>
    <w:rsid w:val="6CC764CB"/>
    <w:rsid w:val="738F3CB5"/>
    <w:rsid w:val="79FF8168"/>
    <w:rsid w:val="7C014E48"/>
    <w:rsid w:val="7EAF77DD"/>
    <w:rsid w:val="FEFB1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仿宋" w:hAnsi="仿宋" w:eastAsia="仿宋" w:cs="Times New Roman"/>
      <w:color w:val="000000"/>
      <w:kern w:val="2"/>
      <w:sz w:val="24"/>
      <w:szCs w:val="24"/>
      <w:lang w:val="en-US" w:eastAsia="zh-CN" w:bidi="ar-SA"/>
    </w:rPr>
  </w:style>
  <w:style w:type="paragraph" w:styleId="2">
    <w:name w:val="heading 1"/>
    <w:basedOn w:val="1"/>
    <w:next w:val="1"/>
    <w:link w:val="26"/>
    <w:qFormat/>
    <w:uiPriority w:val="9"/>
    <w:pPr>
      <w:spacing w:before="50" w:beforeLines="50" w:after="50" w:afterLines="50"/>
      <w:ind w:left="200" w:leftChars="200" w:firstLine="0" w:firstLineChars="0"/>
      <w:outlineLvl w:val="0"/>
    </w:pPr>
    <w:rPr>
      <w:rFonts w:ascii="黑体" w:eastAsia="黑体"/>
      <w:sz w:val="32"/>
    </w:rPr>
  </w:style>
  <w:style w:type="paragraph" w:styleId="3">
    <w:name w:val="heading 2"/>
    <w:basedOn w:val="1"/>
    <w:next w:val="1"/>
    <w:link w:val="27"/>
    <w:unhideWhenUsed/>
    <w:qFormat/>
    <w:uiPriority w:val="9"/>
    <w:pPr>
      <w:spacing w:before="50" w:beforeLines="50" w:after="50" w:afterLines="50"/>
      <w:ind w:left="200" w:leftChars="200" w:firstLine="0" w:firstLineChars="0"/>
      <w:outlineLvl w:val="1"/>
    </w:pPr>
    <w:rPr>
      <w:rFonts w:ascii="楷体_GB2312" w:eastAsia="楷体"/>
      <w:b/>
      <w:sz w:val="32"/>
    </w:rPr>
  </w:style>
  <w:style w:type="paragraph" w:styleId="4">
    <w:name w:val="heading 3"/>
    <w:basedOn w:val="1"/>
    <w:next w:val="1"/>
    <w:link w:val="28"/>
    <w:unhideWhenUsed/>
    <w:qFormat/>
    <w:uiPriority w:val="9"/>
    <w:pPr>
      <w:spacing w:before="50" w:beforeLines="50" w:after="50" w:afterLines="50"/>
      <w:ind w:left="200" w:leftChars="200" w:firstLine="0" w:firstLineChars="0"/>
      <w:outlineLvl w:val="2"/>
    </w:pPr>
    <w:rPr>
      <w:b/>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unhideWhenUsed/>
    <w:qFormat/>
    <w:uiPriority w:val="99"/>
    <w:pPr>
      <w:jc w:val="left"/>
    </w:pPr>
  </w:style>
  <w:style w:type="paragraph" w:styleId="6">
    <w:name w:val="Body Text"/>
    <w:basedOn w:val="1"/>
    <w:next w:val="7"/>
    <w:link w:val="19"/>
    <w:qFormat/>
    <w:uiPriority w:val="99"/>
    <w:pPr>
      <w:adjustRightInd w:val="0"/>
      <w:snapToGrid w:val="0"/>
      <w:spacing w:before="150" w:after="150" w:line="264" w:lineRule="auto"/>
      <w:ind w:firstLine="567"/>
    </w:pPr>
    <w:rPr>
      <w:rFonts w:ascii="华文楷体" w:hAnsi="华文楷体" w:eastAsia="LF_Kai"/>
      <w:kern w:val="0"/>
      <w:szCs w:val="20"/>
      <w:lang w:val="en-GB"/>
    </w:rPr>
  </w:style>
  <w:style w:type="paragraph" w:styleId="7">
    <w:name w:val="toc 1"/>
    <w:basedOn w:val="1"/>
    <w:next w:val="1"/>
    <w:qFormat/>
    <w:uiPriority w:val="39"/>
    <w:pPr>
      <w:tabs>
        <w:tab w:val="left" w:pos="540"/>
        <w:tab w:val="right" w:leader="dot" w:pos="8296"/>
      </w:tabs>
      <w:adjustRightInd w:val="0"/>
      <w:snapToGrid w:val="0"/>
      <w:spacing w:before="120" w:after="120"/>
    </w:pPr>
    <w:rPr>
      <w:rFonts w:ascii="Calibri" w:hAnsi="Calibri" w:eastAsia="仿宋_GB2312" w:cs="Calibri"/>
      <w:b/>
      <w:bCs/>
      <w:caps/>
      <w:sz w:val="28"/>
      <w:szCs w:val="28"/>
    </w:rPr>
  </w:style>
  <w:style w:type="paragraph" w:styleId="8">
    <w:name w:val="Balloon Text"/>
    <w:basedOn w:val="1"/>
    <w:link w:val="22"/>
    <w:semiHidden/>
    <w:unhideWhenUsed/>
    <w:qFormat/>
    <w:uiPriority w:val="99"/>
    <w:rPr>
      <w:sz w:val="18"/>
      <w:szCs w:val="18"/>
    </w:r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5"/>
    <w:qFormat/>
    <w:uiPriority w:val="10"/>
    <w:pPr>
      <w:spacing w:before="156" w:beforeLines="50" w:after="312" w:afterLines="100"/>
      <w:ind w:firstLine="0" w:firstLineChars="0"/>
      <w:jc w:val="center"/>
    </w:pPr>
    <w:rPr>
      <w:rFonts w:ascii="方正小标宋简体" w:hAnsi="Calibri" w:eastAsia="方正小标宋简体"/>
      <w:sz w:val="40"/>
      <w:szCs w:val="40"/>
    </w:rPr>
  </w:style>
  <w:style w:type="paragraph" w:styleId="12">
    <w:name w:val="annotation subject"/>
    <w:basedOn w:val="5"/>
    <w:next w:val="5"/>
    <w:link w:val="21"/>
    <w:semiHidden/>
    <w:unhideWhenUsed/>
    <w:qFormat/>
    <w:uiPriority w:val="99"/>
    <w:rPr>
      <w:b/>
      <w:bCs/>
    </w:rPr>
  </w:style>
  <w:style w:type="paragraph" w:styleId="13">
    <w:name w:val="Body Text First Indent"/>
    <w:basedOn w:val="6"/>
    <w:next w:val="1"/>
    <w:unhideWhenUsed/>
    <w:qFormat/>
    <w:uiPriority w:val="99"/>
    <w:pPr>
      <w:spacing w:before="0" w:after="120" w:line="240" w:lineRule="auto"/>
      <w:ind w:firstLine="420" w:firstLineChars="100"/>
    </w:pPr>
    <w:rPr>
      <w:rFonts w:ascii="Times New Roman" w:hAnsi="Times New Roman" w:eastAsia="宋体"/>
      <w:sz w:val="21"/>
      <w:szCs w:val="24"/>
      <w:lang w:val="en-US"/>
    </w:rPr>
  </w:style>
  <w:style w:type="character" w:styleId="16">
    <w:name w:val="annotation reference"/>
    <w:basedOn w:val="15"/>
    <w:semiHidden/>
    <w:unhideWhenUsed/>
    <w:qFormat/>
    <w:uiPriority w:val="99"/>
    <w:rPr>
      <w:sz w:val="21"/>
      <w:szCs w:val="21"/>
    </w:rPr>
  </w:style>
  <w:style w:type="character" w:customStyle="1" w:styleId="17">
    <w:name w:val="Body text|2_"/>
    <w:link w:val="18"/>
    <w:qFormat/>
    <w:uiPriority w:val="0"/>
    <w:rPr>
      <w:rFonts w:ascii="PMingLiU" w:hAnsi="PMingLiU" w:eastAsia="PMingLiU" w:cs="PMingLiU"/>
      <w:sz w:val="22"/>
      <w:shd w:val="clear" w:color="auto" w:fill="FFFFFF"/>
    </w:rPr>
  </w:style>
  <w:style w:type="paragraph" w:customStyle="1" w:styleId="18">
    <w:name w:val="Body text|2"/>
    <w:basedOn w:val="1"/>
    <w:link w:val="17"/>
    <w:qFormat/>
    <w:uiPriority w:val="0"/>
    <w:pPr>
      <w:shd w:val="clear" w:color="auto" w:fill="FFFFFF"/>
      <w:spacing w:after="100" w:line="220" w:lineRule="exact"/>
      <w:jc w:val="left"/>
    </w:pPr>
    <w:rPr>
      <w:rFonts w:ascii="PMingLiU" w:hAnsi="PMingLiU" w:eastAsia="PMingLiU" w:cs="PMingLiU"/>
      <w:sz w:val="22"/>
    </w:rPr>
  </w:style>
  <w:style w:type="character" w:customStyle="1" w:styleId="19">
    <w:name w:val="正文文本 字符"/>
    <w:basedOn w:val="15"/>
    <w:link w:val="6"/>
    <w:qFormat/>
    <w:uiPriority w:val="99"/>
    <w:rPr>
      <w:rFonts w:ascii="华文楷体" w:hAnsi="华文楷体" w:eastAsia="LF_Kai" w:cs="Times New Roman"/>
      <w:kern w:val="0"/>
      <w:sz w:val="24"/>
      <w:szCs w:val="20"/>
      <w:lang w:val="en-GB"/>
    </w:rPr>
  </w:style>
  <w:style w:type="character" w:customStyle="1" w:styleId="20">
    <w:name w:val="批注文字 字符"/>
    <w:basedOn w:val="15"/>
    <w:link w:val="5"/>
    <w:qFormat/>
    <w:uiPriority w:val="99"/>
  </w:style>
  <w:style w:type="character" w:customStyle="1" w:styleId="21">
    <w:name w:val="批注主题 字符"/>
    <w:basedOn w:val="20"/>
    <w:link w:val="12"/>
    <w:semiHidden/>
    <w:qFormat/>
    <w:uiPriority w:val="99"/>
    <w:rPr>
      <w:b/>
      <w:bCs/>
    </w:rPr>
  </w:style>
  <w:style w:type="character" w:customStyle="1" w:styleId="22">
    <w:name w:val="批注框文本 字符"/>
    <w:basedOn w:val="15"/>
    <w:link w:val="8"/>
    <w:semiHidden/>
    <w:qFormat/>
    <w:uiPriority w:val="99"/>
    <w:rPr>
      <w:sz w:val="18"/>
      <w:szCs w:val="18"/>
    </w:rPr>
  </w:style>
  <w:style w:type="character" w:customStyle="1" w:styleId="23">
    <w:name w:val="页眉 字符"/>
    <w:basedOn w:val="15"/>
    <w:link w:val="10"/>
    <w:qFormat/>
    <w:uiPriority w:val="99"/>
    <w:rPr>
      <w:sz w:val="18"/>
      <w:szCs w:val="18"/>
    </w:rPr>
  </w:style>
  <w:style w:type="character" w:customStyle="1" w:styleId="24">
    <w:name w:val="页脚 字符"/>
    <w:basedOn w:val="15"/>
    <w:link w:val="9"/>
    <w:qFormat/>
    <w:uiPriority w:val="99"/>
    <w:rPr>
      <w:sz w:val="18"/>
      <w:szCs w:val="18"/>
    </w:rPr>
  </w:style>
  <w:style w:type="character" w:customStyle="1" w:styleId="25">
    <w:name w:val="标题 字符"/>
    <w:basedOn w:val="15"/>
    <w:link w:val="11"/>
    <w:qFormat/>
    <w:uiPriority w:val="10"/>
    <w:rPr>
      <w:rFonts w:ascii="方正小标宋简体" w:eastAsia="方正小标宋简体"/>
      <w:color w:val="000000"/>
      <w:kern w:val="2"/>
      <w:sz w:val="40"/>
      <w:szCs w:val="40"/>
    </w:rPr>
  </w:style>
  <w:style w:type="character" w:customStyle="1" w:styleId="26">
    <w:name w:val="标题 1 字符"/>
    <w:basedOn w:val="15"/>
    <w:link w:val="2"/>
    <w:qFormat/>
    <w:uiPriority w:val="9"/>
    <w:rPr>
      <w:rFonts w:ascii="黑体" w:hAnsi="仿宋" w:eastAsia="黑体"/>
      <w:color w:val="000000"/>
      <w:kern w:val="2"/>
      <w:sz w:val="32"/>
      <w:szCs w:val="24"/>
    </w:rPr>
  </w:style>
  <w:style w:type="character" w:customStyle="1" w:styleId="27">
    <w:name w:val="标题 2 字符"/>
    <w:basedOn w:val="15"/>
    <w:link w:val="3"/>
    <w:qFormat/>
    <w:uiPriority w:val="9"/>
    <w:rPr>
      <w:rFonts w:ascii="楷体_GB2312" w:hAnsi="仿宋" w:eastAsia="楷体"/>
      <w:b/>
      <w:color w:val="000000"/>
      <w:kern w:val="2"/>
      <w:sz w:val="32"/>
      <w:szCs w:val="24"/>
    </w:rPr>
  </w:style>
  <w:style w:type="character" w:customStyle="1" w:styleId="28">
    <w:name w:val="标题 3 字符"/>
    <w:basedOn w:val="15"/>
    <w:link w:val="4"/>
    <w:qFormat/>
    <w:uiPriority w:val="9"/>
    <w:rPr>
      <w:rFonts w:ascii="仿宋" w:hAnsi="仿宋" w:eastAsia="仿宋"/>
      <w:b/>
      <w:color w:val="000000"/>
      <w:kern w:val="2"/>
      <w:sz w:val="32"/>
      <w:szCs w:val="24"/>
    </w:rPr>
  </w:style>
  <w:style w:type="paragraph" w:customStyle="1" w:styleId="29">
    <w:name w:val="表格标题"/>
    <w:basedOn w:val="1"/>
    <w:link w:val="31"/>
    <w:qFormat/>
    <w:uiPriority w:val="0"/>
    <w:pPr>
      <w:ind w:firstLine="0" w:firstLineChars="0"/>
      <w:jc w:val="center"/>
    </w:pPr>
    <w:rPr>
      <w:b/>
      <w:sz w:val="21"/>
    </w:rPr>
  </w:style>
  <w:style w:type="paragraph" w:customStyle="1" w:styleId="30">
    <w:name w:val="表格内容"/>
    <w:basedOn w:val="1"/>
    <w:link w:val="33"/>
    <w:qFormat/>
    <w:uiPriority w:val="0"/>
    <w:pPr>
      <w:spacing w:line="240" w:lineRule="auto"/>
      <w:ind w:firstLine="0" w:firstLineChars="0"/>
      <w:jc w:val="center"/>
    </w:pPr>
    <w:rPr>
      <w:sz w:val="21"/>
      <w:szCs w:val="21"/>
    </w:rPr>
  </w:style>
  <w:style w:type="character" w:customStyle="1" w:styleId="31">
    <w:name w:val="表格标题 字符"/>
    <w:basedOn w:val="15"/>
    <w:link w:val="29"/>
    <w:qFormat/>
    <w:uiPriority w:val="0"/>
    <w:rPr>
      <w:rFonts w:ascii="仿宋" w:hAnsi="仿宋" w:eastAsia="仿宋"/>
      <w:b/>
      <w:color w:val="000000"/>
      <w:kern w:val="2"/>
      <w:sz w:val="21"/>
      <w:szCs w:val="24"/>
    </w:rPr>
  </w:style>
  <w:style w:type="paragraph" w:customStyle="1" w:styleId="32">
    <w:name w:val="表格内容2"/>
    <w:basedOn w:val="30"/>
    <w:link w:val="34"/>
    <w:qFormat/>
    <w:uiPriority w:val="0"/>
    <w:rPr>
      <w:sz w:val="16"/>
      <w:szCs w:val="16"/>
    </w:rPr>
  </w:style>
  <w:style w:type="character" w:customStyle="1" w:styleId="33">
    <w:name w:val="表格内容 字符"/>
    <w:basedOn w:val="15"/>
    <w:link w:val="30"/>
    <w:qFormat/>
    <w:uiPriority w:val="0"/>
    <w:rPr>
      <w:rFonts w:ascii="仿宋" w:hAnsi="仿宋" w:eastAsia="仿宋"/>
      <w:color w:val="000000"/>
      <w:kern w:val="2"/>
      <w:sz w:val="21"/>
      <w:szCs w:val="21"/>
    </w:rPr>
  </w:style>
  <w:style w:type="character" w:customStyle="1" w:styleId="34">
    <w:name w:val="表格内容2 字符"/>
    <w:basedOn w:val="33"/>
    <w:link w:val="32"/>
    <w:qFormat/>
    <w:uiPriority w:val="0"/>
    <w:rPr>
      <w:rFonts w:ascii="仿宋" w:hAnsi="仿宋" w:eastAsia="仿宋"/>
      <w:color w:val="000000"/>
      <w:kern w:val="2"/>
      <w:sz w:val="16"/>
      <w:szCs w:val="16"/>
    </w:rPr>
  </w:style>
  <w:style w:type="character" w:customStyle="1" w:styleId="35">
    <w:name w:val="font51"/>
    <w:basedOn w:val="15"/>
    <w:qFormat/>
    <w:uiPriority w:val="0"/>
    <w:rPr>
      <w:rFonts w:hint="eastAsia" w:ascii="宋体" w:hAnsi="宋体" w:eastAsia="宋体" w:cs="宋体"/>
      <w:color w:val="000000"/>
      <w:sz w:val="14"/>
      <w:szCs w:val="14"/>
      <w:u w:val="none"/>
    </w:rPr>
  </w:style>
  <w:style w:type="character" w:customStyle="1" w:styleId="36">
    <w:name w:val="font21"/>
    <w:basedOn w:val="15"/>
    <w:qFormat/>
    <w:uiPriority w:val="0"/>
    <w:rPr>
      <w:rFonts w:hint="default" w:ascii="Times New Roman" w:hAnsi="Times New Roman" w:cs="Times New Roman"/>
      <w:color w:val="000000"/>
      <w:sz w:val="14"/>
      <w:szCs w:val="14"/>
      <w:u w:val="none"/>
    </w:rPr>
  </w:style>
  <w:style w:type="character" w:customStyle="1" w:styleId="37">
    <w:name w:val="font61"/>
    <w:basedOn w:val="15"/>
    <w:qFormat/>
    <w:uiPriority w:val="0"/>
    <w:rPr>
      <w:rFonts w:hint="eastAsia" w:ascii="宋体" w:hAnsi="宋体" w:eastAsia="宋体" w:cs="宋体"/>
      <w:color w:val="000000"/>
      <w:sz w:val="14"/>
      <w:szCs w:val="14"/>
      <w:u w:val="none"/>
    </w:rPr>
  </w:style>
  <w:style w:type="character" w:customStyle="1" w:styleId="38">
    <w:name w:val="font71"/>
    <w:basedOn w:val="15"/>
    <w:qFormat/>
    <w:uiPriority w:val="0"/>
    <w:rPr>
      <w:rFonts w:hint="eastAsia" w:ascii="宋体" w:hAnsi="宋体" w:eastAsia="宋体" w:cs="宋体"/>
      <w:b/>
      <w:bCs/>
      <w:color w:val="000000"/>
      <w:sz w:val="14"/>
      <w:szCs w:val="1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3949</Words>
  <Characters>8304</Characters>
  <Lines>104</Lines>
  <Paragraphs>29</Paragraphs>
  <TotalTime>0</TotalTime>
  <ScaleCrop>false</ScaleCrop>
  <LinksUpToDate>false</LinksUpToDate>
  <CharactersWithSpaces>8316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2021-05-25T18:34:00Z</dcterms:created>
  <dc:creator>1124053244@qq.com</dc:creator>
  <cp:lastModifiedBy>我是维尼强心脏。</cp:lastModifiedBy>
  <cp:lastPrinted>2026-05-08T09:10:30Z</cp:lastPrinted>
  <dcterms:modified xsi:type="dcterms:W3CDTF">2026-05-08T09:11:35Z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CA46653A32EB49DA97F9E163B1B51E96_13</vt:lpwstr>
  </property>
  <property fmtid="{D5CDD505-2E9C-101B-9397-08002B2CF9AE}" pid="4" name="KSOTemplateDocerSaveRecord">
    <vt:lpwstr>eyJoZGlkIjoiMDJlN2RkMjFhYWQzMGEzZGE0YTdiZjk4NzJkNzFhNGIiLCJ1c2VySWQiOiIzMTM4MzYxNzUifQ==</vt:lpwstr>
  </property>
</Properties>
</file>